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6949DC9E" w:rsidR="00206E11" w:rsidRDefault="00965337"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 xml:space="preserve">RFP - </w:t>
      </w:r>
      <w:r w:rsidR="00D160EB"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77777777" w:rsidR="008B0941" w:rsidRDefault="008B0941" w:rsidP="00BE1674">
      <w:pPr>
        <w:pStyle w:val="ListParagraph"/>
        <w:shd w:val="clear" w:color="auto" w:fill="FFFFFF" w:themeFill="background1"/>
        <w:ind w:left="0"/>
        <w:jc w:val="center"/>
        <w:rPr>
          <w:rFonts w:eastAsiaTheme="minorHAnsi"/>
          <w:b/>
          <w:bCs/>
          <w:caps/>
          <w:sz w:val="24"/>
          <w:szCs w:val="24"/>
        </w:rPr>
      </w:pPr>
    </w:p>
    <w:p w14:paraId="51A19A0D" w14:textId="36D5B15B" w:rsidR="009C24F9" w:rsidRDefault="008B0941" w:rsidP="008B0941">
      <w:pPr>
        <w:pStyle w:val="ListParagraph"/>
        <w:shd w:val="clear" w:color="auto" w:fill="BDD6EE" w:themeFill="accent1" w:themeFillTint="66"/>
        <w:ind w:left="0"/>
        <w:rPr>
          <w:rFonts w:eastAsiaTheme="minorHAnsi"/>
          <w:b/>
          <w:bCs/>
          <w:caps/>
          <w:sz w:val="24"/>
          <w:szCs w:val="24"/>
        </w:rPr>
      </w:pPr>
      <w:permStart w:id="592909957" w:edGrp="everyone"/>
      <w:commentRangeStart w:id="0"/>
      <w:r>
        <w:rPr>
          <w:rFonts w:eastAsiaTheme="minorHAnsi"/>
          <w:b/>
          <w:bCs/>
          <w:caps/>
          <w:sz w:val="24"/>
          <w:szCs w:val="24"/>
        </w:rPr>
        <w:t>HEADER</w:t>
      </w:r>
      <w:commentRangeEnd w:id="0"/>
      <w:r w:rsidR="00811924">
        <w:rPr>
          <w:rStyle w:val="CommentReference"/>
        </w:rPr>
        <w:commentReference w:id="0"/>
      </w:r>
      <w:r w:rsidR="00513358">
        <w:rPr>
          <w:rFonts w:eastAsiaTheme="minorHAnsi"/>
          <w:b/>
          <w:bCs/>
          <w:caps/>
          <w:sz w:val="24"/>
          <w:szCs w:val="24"/>
        </w:rPr>
        <w:t>S</w:t>
      </w:r>
    </w:p>
    <w:p w14:paraId="4B0442B2" w14:textId="77777777" w:rsidR="00811924" w:rsidRPr="00811924" w:rsidRDefault="00811924" w:rsidP="00811924">
      <w:pPr>
        <w:pStyle w:val="ListParagraph"/>
        <w:shd w:val="clear" w:color="auto" w:fill="FFFFFF" w:themeFill="background1"/>
        <w:rPr>
          <w:rFonts w:eastAsiaTheme="minorHAnsi"/>
          <w:b/>
          <w:bCs/>
          <w:caps/>
          <w:sz w:val="24"/>
          <w:szCs w:val="24"/>
        </w:rPr>
      </w:pPr>
    </w:p>
    <w:p w14:paraId="1C273371" w14:textId="5C9F053A" w:rsidR="009C24F9" w:rsidRPr="00811924" w:rsidRDefault="008B0941" w:rsidP="00811924">
      <w:pPr>
        <w:pStyle w:val="ListParagraph"/>
        <w:shd w:val="clear" w:color="auto" w:fill="FFFFFF" w:themeFill="background1"/>
        <w:spacing w:after="120"/>
        <w:ind w:left="0"/>
        <w:rPr>
          <w:rFonts w:eastAsiaTheme="minorHAnsi"/>
          <w:bCs/>
          <w:caps/>
          <w:sz w:val="24"/>
          <w:szCs w:val="24"/>
        </w:rPr>
      </w:pPr>
      <w:r w:rsidRPr="00811924">
        <w:rPr>
          <w:rFonts w:eastAsiaTheme="minorHAnsi"/>
          <w:b/>
          <w:bCs/>
          <w:caps/>
          <w:sz w:val="24"/>
          <w:szCs w:val="24"/>
        </w:rPr>
        <w:t>Title:</w:t>
      </w:r>
      <w:r w:rsidR="004C7072">
        <w:rPr>
          <w:rFonts w:eastAsiaTheme="minorHAnsi"/>
          <w:b/>
          <w:bCs/>
          <w:caps/>
          <w:sz w:val="24"/>
          <w:szCs w:val="24"/>
        </w:rPr>
        <w:t xml:space="preserve"> study on the green buildings act</w:t>
      </w:r>
      <w:r w:rsidRPr="00811924">
        <w:rPr>
          <w:rFonts w:eastAsiaTheme="minorHAnsi"/>
          <w:b/>
          <w:bCs/>
          <w:caps/>
          <w:sz w:val="24"/>
          <w:szCs w:val="24"/>
        </w:rPr>
        <w:t xml:space="preserve"> </w:t>
      </w:r>
    </w:p>
    <w:p w14:paraId="4BC5C98B" w14:textId="77777777" w:rsidR="00811924" w:rsidRPr="00811924" w:rsidRDefault="00811924" w:rsidP="00811924">
      <w:pPr>
        <w:pStyle w:val="ListParagraph"/>
        <w:shd w:val="clear" w:color="auto" w:fill="FFFFFF" w:themeFill="background1"/>
        <w:spacing w:after="120"/>
        <w:rPr>
          <w:rFonts w:eastAsiaTheme="minorHAnsi"/>
          <w:b/>
          <w:bCs/>
          <w:caps/>
          <w:sz w:val="24"/>
          <w:szCs w:val="24"/>
        </w:rPr>
      </w:pPr>
    </w:p>
    <w:p w14:paraId="6673DBB5" w14:textId="74389ED4" w:rsidR="009A5EBD" w:rsidRDefault="008B0941" w:rsidP="00256A6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r w:rsidRPr="00811924">
        <w:rPr>
          <w:rFonts w:eastAsiaTheme="minorHAnsi"/>
          <w:b/>
          <w:bCs/>
          <w:caps/>
          <w:sz w:val="24"/>
          <w:szCs w:val="24"/>
        </w:rPr>
        <w:t xml:space="preserve">Description: </w:t>
      </w:r>
      <w:r w:rsidR="00A47786">
        <w:rPr>
          <w:rFonts w:eastAsiaTheme="minorHAnsi"/>
          <w:b/>
          <w:bCs/>
          <w:caps/>
          <w:sz w:val="24"/>
          <w:szCs w:val="24"/>
        </w:rPr>
        <w:t>t</w:t>
      </w:r>
      <w:r w:rsidR="00A47786" w:rsidRPr="00A47786">
        <w:rPr>
          <w:rFonts w:eastAsiaTheme="minorHAnsi"/>
          <w:b/>
          <w:bCs/>
          <w:caps/>
          <w:sz w:val="24"/>
          <w:szCs w:val="24"/>
        </w:rPr>
        <w:t>he</w:t>
      </w:r>
      <w:r w:rsidR="00A47786">
        <w:rPr>
          <w:rFonts w:eastAsiaTheme="minorHAnsi"/>
          <w:b/>
          <w:bCs/>
          <w:caps/>
          <w:sz w:val="24"/>
          <w:szCs w:val="24"/>
        </w:rPr>
        <w:t xml:space="preserve"> Rhode island</w:t>
      </w:r>
      <w:r w:rsidR="00A47786" w:rsidRPr="00A47786">
        <w:rPr>
          <w:rFonts w:eastAsiaTheme="minorHAnsi"/>
          <w:b/>
          <w:bCs/>
          <w:caps/>
          <w:sz w:val="24"/>
          <w:szCs w:val="24"/>
        </w:rPr>
        <w:t xml:space="preserve"> </w:t>
      </w:r>
      <w:r w:rsidR="00A47786">
        <w:rPr>
          <w:rFonts w:eastAsiaTheme="minorHAnsi"/>
          <w:b/>
          <w:bCs/>
          <w:caps/>
          <w:sz w:val="24"/>
          <w:szCs w:val="24"/>
        </w:rPr>
        <w:t xml:space="preserve">green buildings advisory </w:t>
      </w:r>
      <w:r w:rsidR="00A47786" w:rsidRPr="00A47786">
        <w:rPr>
          <w:rFonts w:eastAsiaTheme="minorHAnsi"/>
          <w:b/>
          <w:bCs/>
          <w:caps/>
          <w:sz w:val="24"/>
          <w:szCs w:val="24"/>
        </w:rPr>
        <w:t xml:space="preserve">Committee, on behalf of the Department of Administration, is seeking consultant services to conduct a study of the Green Buildings Act to be completed and delivered in its final version by November 15, 2022. </w:t>
      </w:r>
    </w:p>
    <w:p w14:paraId="0F4F33BC" w14:textId="7FA9DF82" w:rsidR="00DC0CAF" w:rsidRDefault="00DC0CAF" w:rsidP="00256A6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74B40851" w14:textId="0D272040" w:rsidR="008B0941" w:rsidRPr="009A5EBD" w:rsidRDefault="008B0941" w:rsidP="009A5EBD">
      <w:pPr>
        <w:rPr>
          <w:sz w:val="24"/>
          <w:szCs w:val="24"/>
        </w:rPr>
      </w:pPr>
      <w:r w:rsidRPr="009A5EBD">
        <w:rPr>
          <w:b/>
          <w:bCs/>
          <w:sz w:val="24"/>
          <w:szCs w:val="24"/>
          <w:lang w:val="en"/>
        </w:rPr>
        <w:t>PRE-BID/ PROPOSAL CONFERENCE:</w:t>
      </w:r>
      <w:r w:rsidRPr="009A5EBD">
        <w:rPr>
          <w:sz w:val="24"/>
          <w:szCs w:val="24"/>
          <w:lang w:val="en"/>
        </w:rPr>
        <w:t xml:space="preserve"> </w:t>
      </w:r>
      <w:r w:rsidRPr="009A5EBD">
        <w:rPr>
          <w:sz w:val="24"/>
          <w:szCs w:val="24"/>
        </w:rPr>
        <w:t>NO</w:t>
      </w:r>
    </w:p>
    <w:p w14:paraId="69669B64" w14:textId="1C4745FA" w:rsidR="008B0941" w:rsidRPr="009A5EBD" w:rsidRDefault="008B0941" w:rsidP="009A5EBD">
      <w:pPr>
        <w:rPr>
          <w:sz w:val="24"/>
          <w:szCs w:val="24"/>
        </w:rPr>
      </w:pPr>
      <w:r w:rsidRPr="009A5EBD">
        <w:rPr>
          <w:sz w:val="24"/>
          <w:szCs w:val="24"/>
        </w:rPr>
        <w:t>M</w:t>
      </w:r>
      <w:r w:rsidR="00664023">
        <w:rPr>
          <w:sz w:val="24"/>
          <w:szCs w:val="24"/>
        </w:rPr>
        <w:t>andatory</w:t>
      </w:r>
      <w:r w:rsidRPr="009A5EBD">
        <w:rPr>
          <w:sz w:val="24"/>
          <w:szCs w:val="24"/>
        </w:rPr>
        <w:t xml:space="preserve">: </w:t>
      </w:r>
      <w:r w:rsidR="003023CF">
        <w:rPr>
          <w:sz w:val="24"/>
          <w:szCs w:val="24"/>
        </w:rPr>
        <w:t>N/A</w:t>
      </w:r>
    </w:p>
    <w:p w14:paraId="4059AD1C" w14:textId="0E3C567C" w:rsidR="008B0941" w:rsidRPr="009A5EBD" w:rsidRDefault="008B0941" w:rsidP="009A5EBD">
      <w:pPr>
        <w:rPr>
          <w:sz w:val="24"/>
          <w:szCs w:val="24"/>
        </w:rPr>
      </w:pPr>
      <w:r w:rsidRPr="009A5EBD">
        <w:rPr>
          <w:sz w:val="24"/>
          <w:szCs w:val="24"/>
        </w:rPr>
        <w:t>D</w:t>
      </w:r>
      <w:r w:rsidR="00664023">
        <w:rPr>
          <w:sz w:val="24"/>
          <w:szCs w:val="24"/>
        </w:rPr>
        <w:t>ate</w:t>
      </w:r>
      <w:r w:rsidRPr="009A5EBD">
        <w:rPr>
          <w:sz w:val="24"/>
          <w:szCs w:val="24"/>
        </w:rPr>
        <w:t xml:space="preserve">: </w:t>
      </w:r>
      <w:r w:rsidR="003023CF">
        <w:rPr>
          <w:sz w:val="24"/>
          <w:szCs w:val="24"/>
        </w:rPr>
        <w:t>N/A</w:t>
      </w:r>
    </w:p>
    <w:p w14:paraId="4B52CF82" w14:textId="5B2CC9DC" w:rsidR="008B0941" w:rsidRPr="009A5EBD" w:rsidRDefault="008B0941" w:rsidP="009A5EBD">
      <w:pPr>
        <w:rPr>
          <w:sz w:val="24"/>
          <w:szCs w:val="24"/>
        </w:rPr>
      </w:pPr>
      <w:r w:rsidRPr="009A5EBD">
        <w:rPr>
          <w:sz w:val="24"/>
          <w:szCs w:val="24"/>
        </w:rPr>
        <w:t>T</w:t>
      </w:r>
      <w:r w:rsidR="00664023">
        <w:rPr>
          <w:sz w:val="24"/>
          <w:szCs w:val="24"/>
        </w:rPr>
        <w:t>ime</w:t>
      </w:r>
      <w:r w:rsidRPr="009A5EBD">
        <w:rPr>
          <w:sz w:val="24"/>
          <w:szCs w:val="24"/>
        </w:rPr>
        <w:t xml:space="preserve">: </w:t>
      </w:r>
      <w:r w:rsidR="003023CF">
        <w:rPr>
          <w:sz w:val="24"/>
          <w:szCs w:val="24"/>
        </w:rPr>
        <w:t>N/A</w:t>
      </w:r>
    </w:p>
    <w:p w14:paraId="42EF7AE1" w14:textId="38494CB1" w:rsidR="008B0941" w:rsidRPr="009A5EBD" w:rsidRDefault="008B0941" w:rsidP="009A5EBD">
      <w:pPr>
        <w:rPr>
          <w:sz w:val="24"/>
          <w:szCs w:val="24"/>
        </w:rPr>
      </w:pPr>
      <w:r w:rsidRPr="009A5EBD">
        <w:rPr>
          <w:sz w:val="24"/>
          <w:szCs w:val="24"/>
        </w:rPr>
        <w:t>L</w:t>
      </w:r>
      <w:r w:rsidR="00664023">
        <w:rPr>
          <w:sz w:val="24"/>
          <w:szCs w:val="24"/>
        </w:rPr>
        <w:t>ocation</w:t>
      </w:r>
      <w:r w:rsidRPr="009A5EBD">
        <w:rPr>
          <w:sz w:val="24"/>
          <w:szCs w:val="24"/>
        </w:rPr>
        <w:t xml:space="preserve">: </w:t>
      </w:r>
      <w:r w:rsidR="003023CF">
        <w:rPr>
          <w:sz w:val="24"/>
          <w:szCs w:val="24"/>
        </w:rPr>
        <w:t>N/A</w:t>
      </w:r>
    </w:p>
    <w:p w14:paraId="7827D8BB" w14:textId="77777777" w:rsidR="00811924" w:rsidRPr="009A5EBD" w:rsidRDefault="00811924" w:rsidP="009A5EBD">
      <w:pPr>
        <w:rPr>
          <w:sz w:val="24"/>
          <w:szCs w:val="24"/>
        </w:rPr>
      </w:pPr>
    </w:p>
    <w:p w14:paraId="21298FCB" w14:textId="4DF9831D" w:rsidR="008B0941" w:rsidRPr="009A5EBD" w:rsidRDefault="008B0941" w:rsidP="009A5EBD">
      <w:pPr>
        <w:rPr>
          <w:b/>
          <w:sz w:val="24"/>
          <w:szCs w:val="24"/>
        </w:rPr>
      </w:pPr>
      <w:r w:rsidRPr="009A5EBD">
        <w:rPr>
          <w:b/>
          <w:sz w:val="24"/>
          <w:szCs w:val="24"/>
        </w:rPr>
        <w:t>BONDING REQUIREMENTS</w:t>
      </w:r>
    </w:p>
    <w:p w14:paraId="474ED7BA" w14:textId="3B10CC94" w:rsidR="008B0941" w:rsidRPr="009A5EBD" w:rsidRDefault="008B0941" w:rsidP="009A5EBD">
      <w:pPr>
        <w:rPr>
          <w:sz w:val="24"/>
          <w:szCs w:val="24"/>
        </w:rPr>
      </w:pPr>
      <w:r w:rsidRPr="009A5EBD">
        <w:rPr>
          <w:sz w:val="24"/>
          <w:szCs w:val="24"/>
        </w:rPr>
        <w:t>B</w:t>
      </w:r>
      <w:r w:rsidR="00664023">
        <w:rPr>
          <w:sz w:val="24"/>
          <w:szCs w:val="24"/>
        </w:rPr>
        <w:t>id</w:t>
      </w:r>
      <w:r w:rsidRPr="009A5EBD">
        <w:rPr>
          <w:sz w:val="24"/>
          <w:szCs w:val="24"/>
        </w:rPr>
        <w:t xml:space="preserve"> S</w:t>
      </w:r>
      <w:r w:rsidR="00664023">
        <w:rPr>
          <w:sz w:val="24"/>
          <w:szCs w:val="24"/>
        </w:rPr>
        <w:t>urety</w:t>
      </w:r>
      <w:r w:rsidRPr="009A5EBD">
        <w:rPr>
          <w:sz w:val="24"/>
          <w:szCs w:val="24"/>
        </w:rPr>
        <w:t xml:space="preserve"> B</w:t>
      </w:r>
      <w:r w:rsidR="00664023">
        <w:rPr>
          <w:sz w:val="24"/>
          <w:szCs w:val="24"/>
        </w:rPr>
        <w:t xml:space="preserve">ond </w:t>
      </w:r>
      <w:r w:rsidRPr="009A5EBD">
        <w:rPr>
          <w:sz w:val="24"/>
          <w:szCs w:val="24"/>
        </w:rPr>
        <w:t>R</w:t>
      </w:r>
      <w:r w:rsidR="00664023">
        <w:rPr>
          <w:sz w:val="24"/>
          <w:szCs w:val="24"/>
        </w:rPr>
        <w:t>equired</w:t>
      </w:r>
      <w:r w:rsidRPr="009A5EBD">
        <w:rPr>
          <w:sz w:val="24"/>
          <w:szCs w:val="24"/>
        </w:rPr>
        <w:t>: NO</w:t>
      </w:r>
    </w:p>
    <w:p w14:paraId="36B6D1CA" w14:textId="794B00CC" w:rsidR="008B0941" w:rsidRPr="009A5EBD" w:rsidRDefault="008B0941" w:rsidP="009A5EBD">
      <w:pPr>
        <w:rPr>
          <w:sz w:val="24"/>
          <w:szCs w:val="24"/>
        </w:rPr>
      </w:pPr>
      <w:r w:rsidRPr="009A5EBD">
        <w:rPr>
          <w:sz w:val="24"/>
          <w:szCs w:val="24"/>
        </w:rPr>
        <w:t>P</w:t>
      </w:r>
      <w:r w:rsidR="00664023">
        <w:rPr>
          <w:sz w:val="24"/>
          <w:szCs w:val="24"/>
        </w:rPr>
        <w:t>ayment</w:t>
      </w:r>
      <w:r w:rsidRPr="009A5EBD">
        <w:rPr>
          <w:sz w:val="24"/>
          <w:szCs w:val="24"/>
        </w:rPr>
        <w:t xml:space="preserve"> </w:t>
      </w:r>
      <w:r w:rsidR="00664023">
        <w:rPr>
          <w:sz w:val="24"/>
          <w:szCs w:val="24"/>
        </w:rPr>
        <w:t>and</w:t>
      </w:r>
      <w:r w:rsidRPr="009A5EBD">
        <w:rPr>
          <w:sz w:val="24"/>
          <w:szCs w:val="24"/>
        </w:rPr>
        <w:t xml:space="preserve"> </w:t>
      </w:r>
      <w:r w:rsidR="00664023" w:rsidRPr="009A5EBD">
        <w:rPr>
          <w:sz w:val="24"/>
          <w:szCs w:val="24"/>
        </w:rPr>
        <w:t>P</w:t>
      </w:r>
      <w:r w:rsidR="00664023">
        <w:rPr>
          <w:sz w:val="24"/>
          <w:szCs w:val="24"/>
        </w:rPr>
        <w:t>erformance</w:t>
      </w:r>
      <w:r w:rsidRPr="009A5EBD">
        <w:rPr>
          <w:sz w:val="24"/>
          <w:szCs w:val="24"/>
        </w:rPr>
        <w:t xml:space="preserve"> B</w:t>
      </w:r>
      <w:r w:rsidR="00664023">
        <w:rPr>
          <w:sz w:val="24"/>
          <w:szCs w:val="24"/>
        </w:rPr>
        <w:t>ond</w:t>
      </w:r>
      <w:r w:rsidRPr="009A5EBD">
        <w:rPr>
          <w:sz w:val="24"/>
          <w:szCs w:val="24"/>
        </w:rPr>
        <w:t xml:space="preserve"> R</w:t>
      </w:r>
      <w:r w:rsidR="00664023">
        <w:rPr>
          <w:sz w:val="24"/>
          <w:szCs w:val="24"/>
        </w:rPr>
        <w:t>equired</w:t>
      </w:r>
      <w:r w:rsidRPr="009A5EBD">
        <w:rPr>
          <w:sz w:val="24"/>
          <w:szCs w:val="24"/>
        </w:rPr>
        <w:t>: NO</w:t>
      </w:r>
    </w:p>
    <w:p w14:paraId="76E4AED3" w14:textId="77777777" w:rsidR="00811924" w:rsidRPr="00811924" w:rsidRDefault="00811924" w:rsidP="00811924">
      <w:pPr>
        <w:ind w:right="300"/>
        <w:jc w:val="both"/>
        <w:rPr>
          <w:color w:val="333333"/>
          <w:sz w:val="24"/>
          <w:szCs w:val="24"/>
          <w:lang w:val="en"/>
        </w:rPr>
      </w:pPr>
    </w:p>
    <w:p w14:paraId="27FE13EC" w14:textId="4CFF3D6F" w:rsidR="00811924" w:rsidRPr="00811924" w:rsidRDefault="008B0941" w:rsidP="00811924">
      <w:pPr>
        <w:ind w:right="300"/>
        <w:jc w:val="both"/>
        <w:rPr>
          <w:b/>
          <w:color w:val="333333"/>
          <w:sz w:val="24"/>
          <w:szCs w:val="24"/>
          <w:lang w:val="en"/>
        </w:rPr>
      </w:pPr>
      <w:r w:rsidRPr="00811924">
        <w:rPr>
          <w:b/>
          <w:color w:val="333333"/>
          <w:sz w:val="24"/>
          <w:szCs w:val="24"/>
          <w:lang w:val="en"/>
        </w:rPr>
        <w:t>CONTRACT TERMS</w:t>
      </w:r>
    </w:p>
    <w:p w14:paraId="4923F9BD" w14:textId="0FD6B76E" w:rsidR="008B0941" w:rsidRDefault="008B0941" w:rsidP="008B0786">
      <w:pPr>
        <w:pStyle w:val="ListParagraph"/>
        <w:ind w:left="0" w:right="300"/>
        <w:jc w:val="both"/>
        <w:rPr>
          <w:color w:val="333333"/>
          <w:sz w:val="24"/>
          <w:szCs w:val="24"/>
          <w:lang w:val="en"/>
        </w:rPr>
      </w:pPr>
      <w:r w:rsidRPr="008B1A73">
        <w:rPr>
          <w:color w:val="333333"/>
          <w:sz w:val="24"/>
          <w:szCs w:val="24"/>
          <w:lang w:val="en"/>
        </w:rPr>
        <w:t xml:space="preserve">The initial contract period will begin approximately </w:t>
      </w:r>
      <w:r w:rsidR="00721227">
        <w:rPr>
          <w:color w:val="333333"/>
          <w:sz w:val="24"/>
          <w:szCs w:val="24"/>
          <w:shd w:val="clear" w:color="auto" w:fill="FFFF00"/>
          <w:lang w:val="en"/>
        </w:rPr>
        <w:t>July 2022</w:t>
      </w:r>
      <w:r w:rsidR="00E84080">
        <w:rPr>
          <w:color w:val="333333"/>
          <w:sz w:val="24"/>
          <w:szCs w:val="24"/>
          <w:shd w:val="clear" w:color="auto" w:fill="FFFF00"/>
          <w:lang w:val="en"/>
        </w:rPr>
        <w:t>. All major deliverables are due by November 15, 2022. The contract period will continue through June 2023 to allow for additional presentations on the study as needed and to be determined.</w:t>
      </w:r>
      <w:r w:rsidRPr="008B1A73">
        <w:rPr>
          <w:color w:val="333333"/>
          <w:sz w:val="24"/>
          <w:szCs w:val="24"/>
          <w:lang w:val="en"/>
        </w:rPr>
        <w:t xml:space="preserve">  </w:t>
      </w:r>
      <w:r w:rsidR="00E84080">
        <w:rPr>
          <w:color w:val="333333"/>
          <w:sz w:val="24"/>
          <w:szCs w:val="24"/>
          <w:lang w:val="en"/>
        </w:rPr>
        <w:t>The c</w:t>
      </w:r>
      <w:r w:rsidRPr="008B1A73">
        <w:rPr>
          <w:color w:val="333333"/>
          <w:sz w:val="24"/>
          <w:szCs w:val="24"/>
          <w:lang w:val="en"/>
        </w:rPr>
        <w:t>ontract may</w:t>
      </w:r>
      <w:r w:rsidR="00721227">
        <w:rPr>
          <w:color w:val="333333"/>
          <w:sz w:val="24"/>
          <w:szCs w:val="24"/>
          <w:lang w:val="en"/>
        </w:rPr>
        <w:t xml:space="preserve"> not</w:t>
      </w:r>
      <w:r w:rsidRPr="008B1A73">
        <w:rPr>
          <w:color w:val="333333"/>
          <w:sz w:val="24"/>
          <w:szCs w:val="24"/>
          <w:lang w:val="en"/>
        </w:rPr>
        <w:t xml:space="preserve"> be renewed</w:t>
      </w:r>
      <w:r w:rsidRPr="00811924">
        <w:rPr>
          <w:color w:val="333333"/>
          <w:sz w:val="24"/>
          <w:szCs w:val="24"/>
          <w:lang w:val="en"/>
        </w:rPr>
        <w:t>.</w:t>
      </w:r>
    </w:p>
    <w:p w14:paraId="4CC019C1" w14:textId="77777777" w:rsidR="008B1A73" w:rsidRDefault="008B1A73" w:rsidP="00811924">
      <w:pPr>
        <w:pStyle w:val="ListParagraph"/>
        <w:ind w:right="300"/>
        <w:jc w:val="both"/>
        <w:rPr>
          <w:color w:val="333333"/>
          <w:sz w:val="24"/>
          <w:szCs w:val="24"/>
          <w:lang w:val="en"/>
        </w:rPr>
      </w:pPr>
    </w:p>
    <w:p w14:paraId="42E1DFD7" w14:textId="65F83F04" w:rsidR="008B0786" w:rsidRDefault="008B0786" w:rsidP="008B0786">
      <w:pPr>
        <w:autoSpaceDE w:val="0"/>
        <w:autoSpaceDN w:val="0"/>
        <w:adjustRightInd w:val="0"/>
        <w:jc w:val="both"/>
        <w:rPr>
          <w:rFonts w:eastAsiaTheme="minorHAnsi"/>
          <w:sz w:val="24"/>
          <w:szCs w:val="24"/>
        </w:rPr>
      </w:pPr>
      <w:r w:rsidRPr="008B0786">
        <w:rPr>
          <w:b/>
          <w:sz w:val="24"/>
          <w:szCs w:val="24"/>
        </w:rPr>
        <w:t>Insurance Requirements</w:t>
      </w:r>
      <w:r w:rsidRPr="008B0786">
        <w:rPr>
          <w:rFonts w:eastAsiaTheme="minorHAnsi"/>
          <w:sz w:val="24"/>
          <w:szCs w:val="24"/>
        </w:rPr>
        <w:t xml:space="preserve"> </w:t>
      </w:r>
      <w:r w:rsidR="00C03E5A">
        <w:rPr>
          <w:rFonts w:eastAsiaTheme="minorHAnsi"/>
          <w:sz w:val="24"/>
          <w:szCs w:val="24"/>
        </w:rPr>
        <w:t>(#14 in Instructions to Vendors on Requirements tab)</w:t>
      </w:r>
    </w:p>
    <w:p w14:paraId="25FB4D65" w14:textId="538C9D01" w:rsidR="008B0786" w:rsidRPr="008B0786" w:rsidRDefault="008B0786" w:rsidP="008B0786">
      <w:pPr>
        <w:autoSpaceDE w:val="0"/>
        <w:autoSpaceDN w:val="0"/>
        <w:adjustRightInd w:val="0"/>
        <w:jc w:val="both"/>
        <w:rPr>
          <w:rFonts w:eastAsiaTheme="minorHAnsi"/>
          <w:sz w:val="24"/>
          <w:szCs w:val="24"/>
        </w:rPr>
      </w:pPr>
      <w:r w:rsidRPr="008B0786">
        <w:rPr>
          <w:rFonts w:eastAsiaTheme="minorHAnsi"/>
          <w:sz w:val="24"/>
          <w:szCs w:val="24"/>
        </w:rPr>
        <w:t>I</w:t>
      </w:r>
      <w:r w:rsidRPr="008B0786">
        <w:rPr>
          <w:sz w:val="24"/>
          <w:szCs w:val="24"/>
        </w:rPr>
        <w:t xml:space="preserve">n accordance with this solicitation, or as outlined in Section 13.19 </w:t>
      </w:r>
      <w:r w:rsidRPr="008B0786">
        <w:rPr>
          <w:rFonts w:eastAsiaTheme="minorHAnsi"/>
          <w:sz w:val="24"/>
          <w:szCs w:val="24"/>
        </w:rPr>
        <w:t>of the General Conditions of Purchase,</w:t>
      </w:r>
      <w:r w:rsidRPr="008B0786">
        <w:rPr>
          <w:sz w:val="24"/>
          <w:szCs w:val="24"/>
        </w:rPr>
        <w:t xml:space="preserve"> found at  </w:t>
      </w:r>
      <w:hyperlink r:id="rId12" w:history="1">
        <w:r w:rsidRPr="008B0786">
          <w:rPr>
            <w:rStyle w:val="Hyperlink"/>
            <w:sz w:val="24"/>
            <w:szCs w:val="24"/>
          </w:rPr>
          <w:t>https://rules.sos.ri.gov/regulations/part/220-30-00-13</w:t>
        </w:r>
      </w:hyperlink>
      <w:r w:rsidRPr="008B0786">
        <w:rPr>
          <w:rStyle w:val="Strong"/>
          <w:b w:val="0"/>
          <w:sz w:val="24"/>
          <w:szCs w:val="24"/>
        </w:rPr>
        <w:t xml:space="preserve"> and General Conditions - Addendum A found at </w:t>
      </w:r>
      <w:hyperlink r:id="rId13" w:history="1">
        <w:r w:rsidRPr="008B0786">
          <w:rPr>
            <w:rStyle w:val="Hyperlink"/>
            <w:sz w:val="24"/>
            <w:szCs w:val="24"/>
          </w:rPr>
          <w:t>https://www.ridop.ri.gov/documents/general-conditions-addendum-a.pdf</w:t>
        </w:r>
      </w:hyperlink>
      <w:r w:rsidRPr="008B0786">
        <w:rPr>
          <w:rFonts w:eastAsiaTheme="minorHAnsi"/>
          <w:sz w:val="24"/>
          <w:szCs w:val="24"/>
        </w:rPr>
        <w:t>, the following insurance coverage shall be required of the awarded vendor(s):</w:t>
      </w:r>
    </w:p>
    <w:p w14:paraId="34D4EF16" w14:textId="77777777" w:rsidR="008B0786" w:rsidRDefault="008B0786" w:rsidP="008B0786">
      <w:pPr>
        <w:tabs>
          <w:tab w:val="left" w:pos="1440"/>
        </w:tabs>
        <w:ind w:left="1710" w:hanging="720"/>
        <w:contextualSpacing/>
        <w:jc w:val="both"/>
        <w:rPr>
          <w:i/>
          <w:sz w:val="24"/>
          <w:szCs w:val="24"/>
        </w:rPr>
      </w:pPr>
    </w:p>
    <w:p w14:paraId="67E4FF33" w14:textId="77777777" w:rsidR="008B0786" w:rsidRDefault="008B0786" w:rsidP="008B0786">
      <w:pPr>
        <w:tabs>
          <w:tab w:val="left" w:pos="1440"/>
        </w:tabs>
        <w:ind w:left="1710" w:hanging="720"/>
        <w:contextualSpacing/>
        <w:jc w:val="both"/>
        <w:rPr>
          <w:i/>
          <w:sz w:val="24"/>
          <w:szCs w:val="24"/>
        </w:rPr>
      </w:pPr>
      <w:r w:rsidRPr="002E0E83">
        <w:rPr>
          <w:b/>
          <w:i/>
          <w:sz w:val="24"/>
          <w:szCs w:val="24"/>
        </w:rPr>
        <w:t>General Requirements</w:t>
      </w:r>
      <w:r w:rsidRPr="003D09A9">
        <w:rPr>
          <w:i/>
          <w:sz w:val="24"/>
          <w:szCs w:val="24"/>
        </w:rPr>
        <w:t>:</w:t>
      </w:r>
    </w:p>
    <w:p w14:paraId="571F2A0F" w14:textId="77777777" w:rsidR="008B0786" w:rsidRPr="002E0E83" w:rsidRDefault="008B0786" w:rsidP="008B0786">
      <w:pPr>
        <w:tabs>
          <w:tab w:val="left" w:pos="1440"/>
        </w:tabs>
        <w:ind w:left="1710" w:hanging="720"/>
        <w:contextualSpacing/>
        <w:jc w:val="both"/>
        <w:rPr>
          <w:sz w:val="12"/>
          <w:szCs w:val="12"/>
        </w:rPr>
      </w:pPr>
    </w:p>
    <w:p w14:paraId="619D55D1" w14:textId="53E7DFD0" w:rsidR="008B0786" w:rsidRPr="003D09A9" w:rsidRDefault="008B0786" w:rsidP="008B0786">
      <w:pPr>
        <w:tabs>
          <w:tab w:val="left" w:pos="1710"/>
          <w:tab w:val="left" w:pos="2160"/>
        </w:tabs>
        <w:ind w:left="2160" w:hanging="1170"/>
        <w:contextualSpacing/>
        <w:jc w:val="both"/>
        <w:rPr>
          <w:sz w:val="24"/>
          <w:szCs w:val="24"/>
        </w:rPr>
      </w:pPr>
      <w:r>
        <w:rPr>
          <w:sz w:val="24"/>
          <w:szCs w:val="24"/>
        </w:rPr>
        <w:t>1</w:t>
      </w:r>
      <w:r w:rsidR="00C03E5A">
        <w:rPr>
          <w:sz w:val="24"/>
          <w:szCs w:val="24"/>
        </w:rPr>
        <w:t>4</w:t>
      </w:r>
      <w:r w:rsidRPr="003D09A9">
        <w:rPr>
          <w:sz w:val="24"/>
          <w:szCs w:val="24"/>
        </w:rPr>
        <w:t>a)</w:t>
      </w:r>
      <w:r>
        <w:rPr>
          <w:sz w:val="24"/>
          <w:szCs w:val="24"/>
        </w:rPr>
        <w:t xml:space="preserve">  </w:t>
      </w:r>
      <w:sdt>
        <w:sdtPr>
          <w:rPr>
            <w:sz w:val="24"/>
            <w:szCs w:val="24"/>
          </w:rPr>
          <w:id w:val="-8995172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D09A9">
        <w:rPr>
          <w:sz w:val="24"/>
          <w:szCs w:val="24"/>
        </w:rPr>
        <w:t xml:space="preserve">Liability </w:t>
      </w:r>
      <w:r>
        <w:rPr>
          <w:sz w:val="24"/>
          <w:szCs w:val="24"/>
        </w:rPr>
        <w:t>-</w:t>
      </w:r>
      <w:r w:rsidRPr="003D09A9">
        <w:rPr>
          <w:sz w:val="24"/>
          <w:szCs w:val="24"/>
        </w:rPr>
        <w:t xml:space="preserve"> combined single limit of $1,000,000 per occurrence, $1,000,000 general aggregate and $1,000,000 products/completed operations aggregate</w:t>
      </w:r>
      <w:r>
        <w:rPr>
          <w:sz w:val="24"/>
          <w:szCs w:val="24"/>
        </w:rPr>
        <w:t>.</w:t>
      </w:r>
    </w:p>
    <w:p w14:paraId="6BF220FE" w14:textId="77777777" w:rsidR="008B0786" w:rsidRPr="003D09A9" w:rsidRDefault="008B0786" w:rsidP="008B0786">
      <w:pPr>
        <w:tabs>
          <w:tab w:val="left" w:pos="1440"/>
        </w:tabs>
        <w:ind w:left="1710" w:hanging="720"/>
        <w:contextualSpacing/>
        <w:jc w:val="both"/>
        <w:rPr>
          <w:sz w:val="24"/>
          <w:szCs w:val="24"/>
        </w:rPr>
      </w:pPr>
    </w:p>
    <w:p w14:paraId="42E8A9F5" w14:textId="7477E9DD" w:rsidR="008B0786" w:rsidRPr="003D09A9" w:rsidRDefault="008B0786" w:rsidP="008B0786">
      <w:pPr>
        <w:tabs>
          <w:tab w:val="left" w:pos="1710"/>
        </w:tabs>
        <w:ind w:left="2160" w:hanging="1170"/>
        <w:contextualSpacing/>
        <w:jc w:val="both"/>
        <w:rPr>
          <w:sz w:val="24"/>
          <w:szCs w:val="24"/>
        </w:rPr>
      </w:pPr>
      <w:r>
        <w:rPr>
          <w:sz w:val="24"/>
          <w:szCs w:val="24"/>
        </w:rPr>
        <w:t>1</w:t>
      </w:r>
      <w:r w:rsidR="00C03E5A">
        <w:rPr>
          <w:sz w:val="24"/>
          <w:szCs w:val="24"/>
        </w:rPr>
        <w:t>4</w:t>
      </w:r>
      <w:r w:rsidRPr="003D09A9">
        <w:rPr>
          <w:sz w:val="24"/>
          <w:szCs w:val="24"/>
        </w:rPr>
        <w:t>b)</w:t>
      </w:r>
      <w:r>
        <w:rPr>
          <w:sz w:val="24"/>
          <w:szCs w:val="24"/>
        </w:rPr>
        <w:t xml:space="preserve">  </w:t>
      </w:r>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D09A9">
        <w:rPr>
          <w:sz w:val="24"/>
          <w:szCs w:val="24"/>
        </w:rPr>
        <w:t>Workers compensation - $100,000 each accident, $100,000 disease or policy limit and $100,000 each employee</w:t>
      </w:r>
      <w:r>
        <w:rPr>
          <w:sz w:val="24"/>
          <w:szCs w:val="24"/>
        </w:rPr>
        <w:t>.</w:t>
      </w:r>
    </w:p>
    <w:p w14:paraId="72CCF53E" w14:textId="77777777" w:rsidR="008B0786" w:rsidRPr="003D09A9" w:rsidRDefault="008B0786" w:rsidP="008B0786">
      <w:pPr>
        <w:tabs>
          <w:tab w:val="left" w:pos="1440"/>
        </w:tabs>
        <w:ind w:left="1710" w:hanging="720"/>
        <w:contextualSpacing/>
        <w:jc w:val="both"/>
        <w:rPr>
          <w:sz w:val="24"/>
          <w:szCs w:val="24"/>
        </w:rPr>
      </w:pPr>
    </w:p>
    <w:p w14:paraId="3BE9322D" w14:textId="21630803" w:rsidR="008B0786" w:rsidRPr="003D09A9" w:rsidRDefault="008B0786" w:rsidP="008B0786">
      <w:pPr>
        <w:tabs>
          <w:tab w:val="left" w:pos="1440"/>
        </w:tabs>
        <w:ind w:left="1710" w:hanging="720"/>
        <w:contextualSpacing/>
        <w:jc w:val="both"/>
        <w:rPr>
          <w:sz w:val="24"/>
          <w:szCs w:val="24"/>
        </w:rPr>
      </w:pPr>
      <w:r>
        <w:rPr>
          <w:sz w:val="24"/>
          <w:szCs w:val="24"/>
        </w:rPr>
        <w:t>1</w:t>
      </w:r>
      <w:r w:rsidR="00C03E5A">
        <w:rPr>
          <w:sz w:val="24"/>
          <w:szCs w:val="24"/>
        </w:rPr>
        <w:t>4</w:t>
      </w:r>
      <w:r w:rsidRPr="003D09A9">
        <w:rPr>
          <w:sz w:val="24"/>
          <w:szCs w:val="24"/>
        </w:rPr>
        <w:t>c)</w:t>
      </w:r>
      <w:r>
        <w:rPr>
          <w:sz w:val="24"/>
          <w:szCs w:val="24"/>
        </w:rPr>
        <w:t xml:space="preserve">  </w:t>
      </w:r>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D09A9">
        <w:rPr>
          <w:sz w:val="24"/>
          <w:szCs w:val="24"/>
        </w:rPr>
        <w:t>Automobile liability - $1,000,000 each occurrence combined single limit</w:t>
      </w:r>
      <w:r>
        <w:rPr>
          <w:sz w:val="24"/>
          <w:szCs w:val="24"/>
        </w:rPr>
        <w:t>.</w:t>
      </w:r>
      <w:r w:rsidRPr="003D09A9">
        <w:rPr>
          <w:sz w:val="24"/>
          <w:szCs w:val="24"/>
        </w:rPr>
        <w:t xml:space="preserve"> </w:t>
      </w:r>
    </w:p>
    <w:p w14:paraId="7C36BC7D" w14:textId="77777777" w:rsidR="008B0786" w:rsidRPr="003D09A9" w:rsidRDefault="008B0786" w:rsidP="008B0786">
      <w:pPr>
        <w:tabs>
          <w:tab w:val="left" w:pos="1440"/>
        </w:tabs>
        <w:ind w:left="1710" w:hanging="720"/>
        <w:contextualSpacing/>
        <w:jc w:val="both"/>
        <w:rPr>
          <w:sz w:val="24"/>
          <w:szCs w:val="24"/>
        </w:rPr>
      </w:pPr>
    </w:p>
    <w:p w14:paraId="5AEA06F0" w14:textId="3027EBFA" w:rsidR="008B0786" w:rsidRPr="003D09A9" w:rsidRDefault="008B0786" w:rsidP="008B0786">
      <w:pPr>
        <w:tabs>
          <w:tab w:val="left" w:pos="990"/>
          <w:tab w:val="left" w:pos="1710"/>
        </w:tabs>
        <w:ind w:left="2160" w:hanging="1170"/>
        <w:contextualSpacing/>
        <w:rPr>
          <w:sz w:val="24"/>
          <w:szCs w:val="24"/>
        </w:rPr>
      </w:pPr>
      <w:r>
        <w:rPr>
          <w:sz w:val="24"/>
          <w:szCs w:val="24"/>
        </w:rPr>
        <w:t>1</w:t>
      </w:r>
      <w:r w:rsidR="00C03E5A">
        <w:rPr>
          <w:sz w:val="24"/>
          <w:szCs w:val="24"/>
        </w:rPr>
        <w:t>4</w:t>
      </w:r>
      <w:r w:rsidRPr="003D09A9">
        <w:rPr>
          <w:sz w:val="24"/>
          <w:szCs w:val="24"/>
        </w:rPr>
        <w:t>d)</w:t>
      </w:r>
      <w:r>
        <w:rPr>
          <w:sz w:val="24"/>
          <w:szCs w:val="24"/>
        </w:rPr>
        <w:t xml:space="preserve">  </w:t>
      </w:r>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D09A9">
        <w:rPr>
          <w:sz w:val="24"/>
          <w:szCs w:val="24"/>
        </w:rPr>
        <w:t xml:space="preserve"> </w:t>
      </w:r>
      <w:r>
        <w:rPr>
          <w:sz w:val="24"/>
          <w:szCs w:val="24"/>
        </w:rPr>
        <w:tab/>
      </w:r>
      <w:r w:rsidRPr="003D09A9">
        <w:rPr>
          <w:sz w:val="24"/>
          <w:szCs w:val="24"/>
        </w:rPr>
        <w:t>Crime - $500,000 per occurrence or 50% of contract amount, whichever is greater</w:t>
      </w:r>
      <w:r>
        <w:rPr>
          <w:sz w:val="24"/>
          <w:szCs w:val="24"/>
        </w:rPr>
        <w:t>.</w:t>
      </w:r>
      <w:r w:rsidRPr="003D09A9">
        <w:rPr>
          <w:sz w:val="24"/>
          <w:szCs w:val="24"/>
        </w:rPr>
        <w:t xml:space="preserve"> </w:t>
      </w:r>
    </w:p>
    <w:p w14:paraId="5F190505" w14:textId="77777777" w:rsidR="008B0786" w:rsidRPr="003D09A9" w:rsidRDefault="008B0786" w:rsidP="008B0786">
      <w:pPr>
        <w:tabs>
          <w:tab w:val="left" w:pos="1440"/>
        </w:tabs>
        <w:ind w:left="1710" w:hanging="720"/>
        <w:contextualSpacing/>
        <w:jc w:val="both"/>
        <w:rPr>
          <w:sz w:val="24"/>
          <w:szCs w:val="24"/>
        </w:rPr>
      </w:pPr>
    </w:p>
    <w:p w14:paraId="5DE276DE" w14:textId="77777777" w:rsidR="008B0786" w:rsidRDefault="008B0786" w:rsidP="008B0786">
      <w:pPr>
        <w:tabs>
          <w:tab w:val="left" w:pos="1440"/>
        </w:tabs>
        <w:ind w:left="1710" w:hanging="720"/>
        <w:contextualSpacing/>
        <w:jc w:val="both"/>
        <w:rPr>
          <w:i/>
          <w:sz w:val="24"/>
          <w:szCs w:val="24"/>
        </w:rPr>
      </w:pPr>
      <w:r w:rsidRPr="002E0E83">
        <w:rPr>
          <w:b/>
          <w:i/>
          <w:sz w:val="24"/>
          <w:szCs w:val="24"/>
        </w:rPr>
        <w:t>Professional Services</w:t>
      </w:r>
      <w:r w:rsidRPr="003D09A9">
        <w:rPr>
          <w:i/>
          <w:sz w:val="24"/>
          <w:szCs w:val="24"/>
        </w:rPr>
        <w:t>:</w:t>
      </w:r>
    </w:p>
    <w:p w14:paraId="53F70B9F" w14:textId="77777777" w:rsidR="008B0786" w:rsidRPr="002E0E83" w:rsidRDefault="008B0786" w:rsidP="008B0786">
      <w:pPr>
        <w:tabs>
          <w:tab w:val="left" w:pos="1440"/>
        </w:tabs>
        <w:ind w:left="1710" w:hanging="720"/>
        <w:contextualSpacing/>
        <w:jc w:val="both"/>
        <w:rPr>
          <w:i/>
          <w:sz w:val="12"/>
          <w:szCs w:val="12"/>
        </w:rPr>
      </w:pPr>
    </w:p>
    <w:p w14:paraId="4785BEF5" w14:textId="0DB9DF63" w:rsidR="008B0786" w:rsidRPr="003D09A9" w:rsidRDefault="008B0786" w:rsidP="008B0786">
      <w:pPr>
        <w:tabs>
          <w:tab w:val="left" w:pos="1710"/>
        </w:tabs>
        <w:ind w:left="2160" w:hanging="1170"/>
        <w:contextualSpacing/>
        <w:jc w:val="both"/>
        <w:rPr>
          <w:sz w:val="24"/>
          <w:szCs w:val="24"/>
        </w:rPr>
      </w:pPr>
      <w:r>
        <w:rPr>
          <w:sz w:val="24"/>
          <w:szCs w:val="24"/>
        </w:rPr>
        <w:t>1</w:t>
      </w:r>
      <w:r w:rsidR="00C03E5A">
        <w:rPr>
          <w:sz w:val="24"/>
          <w:szCs w:val="24"/>
        </w:rPr>
        <w:t>4</w:t>
      </w:r>
      <w:r w:rsidRPr="003D09A9">
        <w:rPr>
          <w:sz w:val="24"/>
          <w:szCs w:val="24"/>
        </w:rPr>
        <w:t>e)</w:t>
      </w:r>
      <w:r>
        <w:rPr>
          <w:sz w:val="24"/>
          <w:szCs w:val="24"/>
        </w:rPr>
        <w:t xml:space="preserve">  </w:t>
      </w:r>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D09A9">
        <w:rPr>
          <w:sz w:val="24"/>
          <w:szCs w:val="24"/>
        </w:rPr>
        <w:t xml:space="preserve"> </w:t>
      </w:r>
      <w:r>
        <w:rPr>
          <w:sz w:val="24"/>
          <w:szCs w:val="24"/>
        </w:rPr>
        <w:tab/>
      </w:r>
      <w:r w:rsidRPr="003D09A9">
        <w:rPr>
          <w:sz w:val="24"/>
          <w:szCs w:val="24"/>
        </w:rPr>
        <w:t>Professional liability (“errors and omissions”) - $2,000,000 per occurrence, $2,000,000 annual aggregate</w:t>
      </w:r>
      <w:r>
        <w:rPr>
          <w:sz w:val="24"/>
          <w:szCs w:val="24"/>
        </w:rPr>
        <w:t>.</w:t>
      </w:r>
      <w:r w:rsidRPr="003D09A9" w:rsidDel="005B73DF">
        <w:rPr>
          <w:sz w:val="24"/>
          <w:szCs w:val="24"/>
        </w:rPr>
        <w:t xml:space="preserve"> </w:t>
      </w:r>
    </w:p>
    <w:p w14:paraId="70FBA1EE" w14:textId="77777777" w:rsidR="008B0786" w:rsidRPr="003D09A9" w:rsidRDefault="008B0786" w:rsidP="008B0786">
      <w:pPr>
        <w:tabs>
          <w:tab w:val="left" w:pos="1440"/>
        </w:tabs>
        <w:ind w:left="1710" w:hanging="720"/>
        <w:contextualSpacing/>
        <w:jc w:val="both"/>
        <w:rPr>
          <w:sz w:val="24"/>
          <w:szCs w:val="24"/>
        </w:rPr>
      </w:pPr>
    </w:p>
    <w:p w14:paraId="00801B01" w14:textId="69FC7442" w:rsidR="008B0786" w:rsidRPr="003D09A9" w:rsidRDefault="008B0786" w:rsidP="008B0786">
      <w:pPr>
        <w:tabs>
          <w:tab w:val="left" w:pos="1710"/>
        </w:tabs>
        <w:ind w:left="2160" w:hanging="1170"/>
        <w:contextualSpacing/>
        <w:jc w:val="both"/>
        <w:rPr>
          <w:sz w:val="24"/>
          <w:szCs w:val="24"/>
        </w:rPr>
      </w:pPr>
      <w:r>
        <w:rPr>
          <w:sz w:val="24"/>
          <w:szCs w:val="24"/>
        </w:rPr>
        <w:t>1</w:t>
      </w:r>
      <w:r w:rsidR="00C03E5A">
        <w:rPr>
          <w:sz w:val="24"/>
          <w:szCs w:val="24"/>
        </w:rPr>
        <w:t>4</w:t>
      </w:r>
      <w:r w:rsidRPr="003D09A9">
        <w:rPr>
          <w:sz w:val="24"/>
          <w:szCs w:val="24"/>
        </w:rPr>
        <w:t>f)</w:t>
      </w:r>
      <w:r>
        <w:rPr>
          <w:sz w:val="24"/>
          <w:szCs w:val="24"/>
        </w:rPr>
        <w:t xml:space="preserve">  </w:t>
      </w:r>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D09A9">
        <w:rPr>
          <w:sz w:val="24"/>
          <w:szCs w:val="24"/>
        </w:rPr>
        <w:t>Environmental/Pollution Liability when past, present or future hazard is possible - $1,000,000 per occurrence and $2,000,000 aggregate.</w:t>
      </w:r>
    </w:p>
    <w:p w14:paraId="4D98AC6F" w14:textId="77777777" w:rsidR="008B0786" w:rsidRPr="003D09A9" w:rsidRDefault="008B0786" w:rsidP="008B0786">
      <w:pPr>
        <w:tabs>
          <w:tab w:val="left" w:pos="1440"/>
        </w:tabs>
        <w:ind w:left="1710" w:hanging="720"/>
        <w:contextualSpacing/>
        <w:jc w:val="both"/>
        <w:rPr>
          <w:sz w:val="24"/>
          <w:szCs w:val="24"/>
        </w:rPr>
      </w:pPr>
    </w:p>
    <w:p w14:paraId="751C0B91" w14:textId="7A713CE7" w:rsidR="008B0786" w:rsidRPr="003D09A9" w:rsidRDefault="008B0786" w:rsidP="008B0786">
      <w:pPr>
        <w:tabs>
          <w:tab w:val="left" w:pos="1710"/>
        </w:tabs>
        <w:ind w:left="2160" w:hanging="1170"/>
        <w:contextualSpacing/>
        <w:jc w:val="both"/>
        <w:rPr>
          <w:sz w:val="24"/>
          <w:szCs w:val="24"/>
        </w:rPr>
      </w:pPr>
      <w:r>
        <w:rPr>
          <w:sz w:val="24"/>
          <w:szCs w:val="24"/>
        </w:rPr>
        <w:t>1</w:t>
      </w:r>
      <w:r w:rsidR="00C03E5A">
        <w:rPr>
          <w:sz w:val="24"/>
          <w:szCs w:val="24"/>
        </w:rPr>
        <w:t>4</w:t>
      </w:r>
      <w:r w:rsidRPr="003D09A9">
        <w:rPr>
          <w:sz w:val="24"/>
          <w:szCs w:val="24"/>
        </w:rPr>
        <w:t>g)</w:t>
      </w:r>
      <w:r>
        <w:rPr>
          <w:sz w:val="24"/>
          <w:szCs w:val="24"/>
        </w:rPr>
        <w:t xml:space="preserve">  </w:t>
      </w:r>
      <w:sdt>
        <w:sdtPr>
          <w:rPr>
            <w:sz w:val="24"/>
            <w:szCs w:val="24"/>
          </w:rPr>
          <w:id w:val="18664068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D09A9">
        <w:rPr>
          <w:sz w:val="24"/>
          <w:szCs w:val="24"/>
        </w:rPr>
        <w:t xml:space="preserve"> </w:t>
      </w:r>
      <w:r>
        <w:rPr>
          <w:sz w:val="24"/>
          <w:szCs w:val="24"/>
        </w:rPr>
        <w:tab/>
      </w:r>
      <w:r w:rsidRPr="003D09A9">
        <w:rPr>
          <w:sz w:val="24"/>
          <w:szCs w:val="24"/>
        </w:rPr>
        <w:t>Working with Children, Elderly or Disabled Persons – Physical Abuse and Molestation Liability Insurance - $1 Million per occurrence</w:t>
      </w:r>
      <w:r>
        <w:rPr>
          <w:sz w:val="24"/>
          <w:szCs w:val="24"/>
        </w:rPr>
        <w:t>.</w:t>
      </w:r>
      <w:r w:rsidRPr="003D09A9">
        <w:rPr>
          <w:sz w:val="24"/>
          <w:szCs w:val="24"/>
        </w:rPr>
        <w:t xml:space="preserve"> </w:t>
      </w:r>
    </w:p>
    <w:p w14:paraId="4FF4BEE6" w14:textId="77777777" w:rsidR="008B0786" w:rsidRPr="003D09A9" w:rsidRDefault="008B0786" w:rsidP="008B0786">
      <w:pPr>
        <w:tabs>
          <w:tab w:val="left" w:pos="1440"/>
        </w:tabs>
        <w:ind w:left="1710" w:hanging="720"/>
        <w:contextualSpacing/>
        <w:jc w:val="both"/>
        <w:rPr>
          <w:sz w:val="24"/>
          <w:szCs w:val="24"/>
        </w:rPr>
      </w:pPr>
    </w:p>
    <w:p w14:paraId="7B4C55E4" w14:textId="77777777" w:rsidR="008B0786" w:rsidRDefault="008B0786" w:rsidP="008B0786">
      <w:pPr>
        <w:tabs>
          <w:tab w:val="left" w:pos="1440"/>
        </w:tabs>
        <w:ind w:left="1800" w:hanging="810"/>
        <w:contextualSpacing/>
        <w:jc w:val="both"/>
        <w:rPr>
          <w:i/>
          <w:sz w:val="24"/>
          <w:szCs w:val="24"/>
        </w:rPr>
      </w:pPr>
      <w:r w:rsidRPr="002E0E83">
        <w:rPr>
          <w:b/>
          <w:i/>
          <w:sz w:val="24"/>
          <w:szCs w:val="24"/>
        </w:rPr>
        <w:t>Information Technology and/or Cyber/Privacy</w:t>
      </w:r>
      <w:r w:rsidRPr="003D09A9">
        <w:rPr>
          <w:i/>
          <w:sz w:val="24"/>
          <w:szCs w:val="24"/>
        </w:rPr>
        <w:t xml:space="preserve">: </w:t>
      </w:r>
    </w:p>
    <w:p w14:paraId="3A8811F3" w14:textId="77777777" w:rsidR="008B0786" w:rsidRPr="002E0E83" w:rsidRDefault="008B0786" w:rsidP="008B0786">
      <w:pPr>
        <w:tabs>
          <w:tab w:val="left" w:pos="1440"/>
        </w:tabs>
        <w:ind w:left="1800" w:hanging="810"/>
        <w:contextualSpacing/>
        <w:jc w:val="both"/>
        <w:rPr>
          <w:i/>
          <w:sz w:val="12"/>
          <w:szCs w:val="12"/>
        </w:rPr>
      </w:pPr>
    </w:p>
    <w:p w14:paraId="11257684" w14:textId="093A64B9" w:rsidR="008B0786" w:rsidRDefault="008B0786" w:rsidP="008B0786">
      <w:pPr>
        <w:tabs>
          <w:tab w:val="left" w:pos="1350"/>
        </w:tabs>
        <w:ind w:left="2160" w:hanging="1170"/>
        <w:contextualSpacing/>
        <w:jc w:val="both"/>
        <w:rPr>
          <w:sz w:val="24"/>
          <w:szCs w:val="24"/>
        </w:rPr>
      </w:pPr>
      <w:r>
        <w:rPr>
          <w:sz w:val="24"/>
          <w:szCs w:val="24"/>
        </w:rPr>
        <w:t>1</w:t>
      </w:r>
      <w:r w:rsidR="00C03E5A">
        <w:rPr>
          <w:sz w:val="24"/>
          <w:szCs w:val="24"/>
        </w:rPr>
        <w:t>4</w:t>
      </w:r>
      <w:r w:rsidRPr="003D09A9">
        <w:rPr>
          <w:sz w:val="24"/>
          <w:szCs w:val="24"/>
        </w:rPr>
        <w:t>h)</w:t>
      </w:r>
      <w:r>
        <w:rPr>
          <w:sz w:val="24"/>
          <w:szCs w:val="24"/>
        </w:rPr>
        <w:t xml:space="preserve">  </w:t>
      </w:r>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D09A9">
        <w:rPr>
          <w:sz w:val="24"/>
          <w:szCs w:val="24"/>
        </w:rPr>
        <w:t>Technology Errors and Omissions - Combined single limit per occurrence shall not be less than $5,000,000. Annual aggregate limit shall not be less than $5,000,000.</w:t>
      </w:r>
      <w:r w:rsidRPr="003D09A9">
        <w:rPr>
          <w:sz w:val="24"/>
          <w:szCs w:val="24"/>
        </w:rPr>
        <w:tab/>
      </w:r>
    </w:p>
    <w:p w14:paraId="65405442" w14:textId="77777777" w:rsidR="008B0786" w:rsidRPr="003D09A9" w:rsidRDefault="008B0786" w:rsidP="008B0786">
      <w:pPr>
        <w:tabs>
          <w:tab w:val="left" w:pos="1350"/>
        </w:tabs>
        <w:ind w:left="2160" w:hanging="1170"/>
        <w:contextualSpacing/>
        <w:jc w:val="both"/>
        <w:rPr>
          <w:sz w:val="24"/>
          <w:szCs w:val="24"/>
        </w:rPr>
      </w:pPr>
    </w:p>
    <w:p w14:paraId="6FED4B8E" w14:textId="724B0B8F" w:rsidR="008B0786" w:rsidRDefault="008B0786" w:rsidP="008B0786">
      <w:pPr>
        <w:pStyle w:val="Default"/>
        <w:ind w:left="2160" w:hanging="1170"/>
        <w:rPr>
          <w:color w:val="auto"/>
        </w:rPr>
      </w:pPr>
      <w:r>
        <w:t>1</w:t>
      </w:r>
      <w:r w:rsidR="00C03E5A">
        <w:t>4</w:t>
      </w:r>
      <w:r w:rsidRPr="003D09A9">
        <w:t>i)</w:t>
      </w:r>
      <w:r>
        <w:t xml:space="preserve">  </w:t>
      </w:r>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3D09A9">
        <w:rPr>
          <w:color w:val="auto"/>
        </w:rPr>
        <w:t xml:space="preserve">Information Technology Cyber/Privacy – minimum limits of $5,000,000 per occurrence and $5,000,000 annual aggregate.  If Contract Party provides: </w:t>
      </w:r>
    </w:p>
    <w:p w14:paraId="7D786FC8" w14:textId="77777777" w:rsidR="008B0786" w:rsidRPr="002E0E83" w:rsidRDefault="008B0786" w:rsidP="008B0786">
      <w:pPr>
        <w:pStyle w:val="Default"/>
        <w:ind w:left="2160" w:hanging="1170"/>
        <w:rPr>
          <w:color w:val="auto"/>
          <w:sz w:val="12"/>
          <w:szCs w:val="12"/>
        </w:rPr>
      </w:pPr>
    </w:p>
    <w:p w14:paraId="10654CC3" w14:textId="77777777" w:rsidR="008B0786" w:rsidRPr="003D09A9" w:rsidRDefault="008B0786" w:rsidP="008B0786">
      <w:pPr>
        <w:pStyle w:val="Default"/>
        <w:tabs>
          <w:tab w:val="left" w:pos="3060"/>
        </w:tabs>
        <w:ind w:left="3060" w:hanging="900"/>
        <w:jc w:val="both"/>
        <w:rPr>
          <w:color w:val="auto"/>
        </w:rPr>
      </w:pPr>
      <w:r w:rsidRPr="003D09A9">
        <w:rPr>
          <w:color w:val="auto"/>
        </w:rPr>
        <w:t>a)</w:t>
      </w:r>
      <w:r>
        <w:rPr>
          <w:color w:val="auto"/>
        </w:rPr>
        <w:t xml:space="preserve">  </w:t>
      </w:r>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 xml:space="preserve"> </w:t>
      </w:r>
      <w:r>
        <w:rPr>
          <w:color w:val="auto"/>
        </w:rPr>
        <w:tab/>
        <w:t>k</w:t>
      </w:r>
      <w:r w:rsidRPr="003D09A9">
        <w:rPr>
          <w:color w:val="auto"/>
        </w:rPr>
        <w:t xml:space="preserve">ey back office services Contract Party shall have a minimum limit of $10,000,000 per occurrence and $10,000,000 annual aggregate; </w:t>
      </w:r>
    </w:p>
    <w:p w14:paraId="193E871F" w14:textId="77777777" w:rsidR="008B0786" w:rsidRPr="003D09A9" w:rsidRDefault="008B0786" w:rsidP="008B0786">
      <w:pPr>
        <w:pStyle w:val="Default"/>
        <w:ind w:left="3060" w:hanging="900"/>
        <w:jc w:val="both"/>
        <w:rPr>
          <w:color w:val="auto"/>
        </w:rPr>
      </w:pPr>
      <w:r w:rsidRPr="003D09A9">
        <w:rPr>
          <w:color w:val="auto"/>
        </w:rPr>
        <w:t>b)</w:t>
      </w:r>
      <w:r>
        <w:rPr>
          <w:color w:val="auto"/>
        </w:rPr>
        <w:t xml:space="preserve">  </w:t>
      </w:r>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r>
      <w:r w:rsidRPr="003D09A9">
        <w:rPr>
          <w:color w:val="auto"/>
        </w:rPr>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0ED25F2C" w14:textId="77777777" w:rsidR="008B0786" w:rsidRPr="003D09A9" w:rsidRDefault="008B0786" w:rsidP="008B0786">
      <w:pPr>
        <w:pStyle w:val="Default"/>
        <w:ind w:left="3060" w:hanging="900"/>
        <w:jc w:val="both"/>
        <w:rPr>
          <w:color w:val="auto"/>
        </w:rPr>
      </w:pPr>
      <w:r w:rsidRPr="003D09A9">
        <w:rPr>
          <w:color w:val="auto"/>
        </w:rPr>
        <w:t>c)</w:t>
      </w:r>
      <w:r>
        <w:rPr>
          <w:color w:val="auto"/>
        </w:rPr>
        <w:t xml:space="preserve">  </w:t>
      </w:r>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t>if</w:t>
      </w:r>
      <w:r w:rsidRPr="003D09A9">
        <w:rPr>
          <w:color w:val="auto"/>
        </w:rPr>
        <w:t xml:space="preserve"> the Contract Party provides or has access to mission critical services, network architecture and/or the totality of confidential data $20,000,000 per occurrence and in the annual aggregate. </w:t>
      </w:r>
    </w:p>
    <w:p w14:paraId="3799C339" w14:textId="77777777" w:rsidR="008B0786" w:rsidRPr="003D09A9" w:rsidRDefault="008B0786" w:rsidP="008B0786">
      <w:pPr>
        <w:tabs>
          <w:tab w:val="left" w:pos="1440"/>
        </w:tabs>
        <w:ind w:left="1800" w:hanging="810"/>
        <w:contextualSpacing/>
        <w:jc w:val="both"/>
        <w:rPr>
          <w:sz w:val="24"/>
          <w:szCs w:val="24"/>
        </w:rPr>
      </w:pPr>
    </w:p>
    <w:p w14:paraId="20E329F1" w14:textId="77777777" w:rsidR="008B0786" w:rsidRDefault="008B0786" w:rsidP="008B0786">
      <w:pPr>
        <w:tabs>
          <w:tab w:val="left" w:pos="1440"/>
        </w:tabs>
        <w:ind w:left="990"/>
        <w:contextualSpacing/>
        <w:jc w:val="both"/>
        <w:rPr>
          <w:i/>
          <w:sz w:val="24"/>
          <w:szCs w:val="24"/>
        </w:rPr>
      </w:pPr>
      <w:r w:rsidRPr="002E0E83">
        <w:rPr>
          <w:b/>
          <w:i/>
          <w:sz w:val="24"/>
          <w:szCs w:val="24"/>
        </w:rPr>
        <w:t>Other</w:t>
      </w:r>
      <w:r w:rsidRPr="003D09A9">
        <w:rPr>
          <w:i/>
          <w:sz w:val="24"/>
          <w:szCs w:val="24"/>
        </w:rPr>
        <w:t>:</w:t>
      </w:r>
    </w:p>
    <w:p w14:paraId="45CCB9EC" w14:textId="77777777" w:rsidR="008B0786" w:rsidRPr="002E0E83" w:rsidRDefault="008B0786" w:rsidP="008B0786">
      <w:pPr>
        <w:tabs>
          <w:tab w:val="left" w:pos="1440"/>
        </w:tabs>
        <w:ind w:left="990"/>
        <w:contextualSpacing/>
        <w:jc w:val="both"/>
        <w:rPr>
          <w:sz w:val="12"/>
          <w:szCs w:val="12"/>
        </w:rPr>
      </w:pPr>
    </w:p>
    <w:p w14:paraId="5A05757D" w14:textId="77777777" w:rsidR="008B0786" w:rsidRPr="003D09A9" w:rsidRDefault="008B0786" w:rsidP="008B0786">
      <w:pPr>
        <w:tabs>
          <w:tab w:val="left" w:pos="1440"/>
        </w:tabs>
        <w:ind w:left="990"/>
        <w:contextualSpacing/>
        <w:jc w:val="both"/>
        <w:rPr>
          <w:i/>
          <w:sz w:val="24"/>
          <w:szCs w:val="24"/>
        </w:rPr>
      </w:pPr>
      <w:r w:rsidRPr="003D09A9">
        <w:rPr>
          <w:sz w:val="24"/>
          <w:szCs w:val="24"/>
        </w:rPr>
        <w:t>Specify insurance type and minimum coverage required, e.g</w:t>
      </w:r>
      <w:r w:rsidRPr="003D09A9">
        <w:rPr>
          <w:i/>
          <w:sz w:val="24"/>
          <w:szCs w:val="24"/>
        </w:rPr>
        <w:t xml:space="preserve">. </w:t>
      </w:r>
      <w:r w:rsidRPr="003D09A9">
        <w:rPr>
          <w:sz w:val="24"/>
          <w:szCs w:val="24"/>
        </w:rPr>
        <w:t>builder’s risk insurance</w:t>
      </w:r>
      <w:r w:rsidRPr="003D09A9">
        <w:rPr>
          <w:i/>
          <w:sz w:val="24"/>
          <w:szCs w:val="24"/>
        </w:rPr>
        <w:t>,</w:t>
      </w:r>
      <w:r w:rsidRPr="003D09A9">
        <w:rPr>
          <w:sz w:val="24"/>
          <w:szCs w:val="24"/>
        </w:rPr>
        <w:t xml:space="preserve"> vessel operation (marine or aircraft):</w:t>
      </w:r>
    </w:p>
    <w:p w14:paraId="1E7925B0" w14:textId="77777777" w:rsidR="008B0786" w:rsidRPr="002E0E83" w:rsidRDefault="008B0786" w:rsidP="008B0786">
      <w:pPr>
        <w:tabs>
          <w:tab w:val="left" w:pos="1440"/>
        </w:tabs>
        <w:ind w:left="1800" w:hanging="810"/>
        <w:contextualSpacing/>
        <w:jc w:val="both"/>
        <w:rPr>
          <w:sz w:val="12"/>
          <w:szCs w:val="12"/>
        </w:rPr>
      </w:pPr>
    </w:p>
    <w:p w14:paraId="28A78C48" w14:textId="6A0D78D8" w:rsidR="008B0786" w:rsidRPr="003D09A9" w:rsidRDefault="008B0786" w:rsidP="008B0786">
      <w:pPr>
        <w:tabs>
          <w:tab w:val="left" w:pos="1440"/>
        </w:tabs>
        <w:ind w:left="2160" w:hanging="1170"/>
        <w:contextualSpacing/>
        <w:jc w:val="both"/>
        <w:rPr>
          <w:sz w:val="24"/>
          <w:szCs w:val="24"/>
        </w:rPr>
      </w:pPr>
      <w:r>
        <w:rPr>
          <w:sz w:val="24"/>
          <w:szCs w:val="24"/>
        </w:rPr>
        <w:t>1</w:t>
      </w:r>
      <w:r w:rsidR="00C03E5A">
        <w:rPr>
          <w:sz w:val="24"/>
          <w:szCs w:val="24"/>
        </w:rPr>
        <w:t>4</w:t>
      </w:r>
      <w:r w:rsidRPr="003D09A9">
        <w:rPr>
          <w:sz w:val="24"/>
          <w:szCs w:val="24"/>
        </w:rPr>
        <w:t>j)</w:t>
      </w:r>
      <w:r>
        <w:rPr>
          <w:sz w:val="24"/>
          <w:szCs w:val="24"/>
        </w:rPr>
        <w:t xml:space="preserve">  </w:t>
      </w:r>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D09A9">
        <w:rPr>
          <w:sz w:val="24"/>
          <w:szCs w:val="24"/>
        </w:rPr>
        <w:t xml:space="preserve"> </w:t>
      </w:r>
      <w:r>
        <w:rPr>
          <w:sz w:val="24"/>
          <w:szCs w:val="24"/>
        </w:rPr>
        <w:tab/>
      </w:r>
      <w:r w:rsidRPr="003D09A9">
        <w:rPr>
          <w:sz w:val="24"/>
          <w:szCs w:val="24"/>
        </w:rPr>
        <w:t xml:space="preserve">Other - </w:t>
      </w:r>
      <w:sdt>
        <w:sdtPr>
          <w:rPr>
            <w:sz w:val="24"/>
            <w:szCs w:val="24"/>
          </w:rPr>
          <w:id w:val="471638176"/>
          <w:placeholder>
            <w:docPart w:val="265F9749388B4D939C55CB693F76967D"/>
          </w:placeholder>
          <w:showingPlcHdr/>
        </w:sdtPr>
        <w:sdtEndPr/>
        <w:sdtContent>
          <w:r w:rsidRPr="003D09A9">
            <w:rPr>
              <w:rStyle w:val="PlaceholderText"/>
              <w:sz w:val="24"/>
              <w:szCs w:val="24"/>
            </w:rPr>
            <w:t>Specify insurance type and minimum coverage required</w:t>
          </w:r>
        </w:sdtContent>
      </w:sdt>
    </w:p>
    <w:p w14:paraId="4BCB0DF7" w14:textId="28B62CB3" w:rsidR="008B0786" w:rsidRDefault="008B0786" w:rsidP="008B0786">
      <w:pPr>
        <w:pStyle w:val="ListParagraph"/>
        <w:ind w:left="0" w:right="300"/>
        <w:jc w:val="both"/>
        <w:rPr>
          <w:color w:val="333333"/>
          <w:sz w:val="24"/>
          <w:szCs w:val="24"/>
          <w:lang w:val="en"/>
        </w:rPr>
      </w:pPr>
    </w:p>
    <w:p w14:paraId="6FDD9E39" w14:textId="2E558101" w:rsidR="008B1A73" w:rsidRDefault="008B1A73" w:rsidP="008B0786">
      <w:pPr>
        <w:pStyle w:val="ListParagraph"/>
        <w:ind w:left="0" w:right="300"/>
        <w:jc w:val="both"/>
        <w:rPr>
          <w:b/>
          <w:bCs/>
          <w:color w:val="333333"/>
          <w:sz w:val="24"/>
          <w:szCs w:val="24"/>
          <w:lang w:val="en"/>
        </w:rPr>
      </w:pPr>
      <w:r w:rsidRPr="008B1A73">
        <w:rPr>
          <w:b/>
          <w:bCs/>
          <w:color w:val="333333"/>
          <w:sz w:val="24"/>
          <w:szCs w:val="24"/>
          <w:lang w:val="en"/>
        </w:rPr>
        <w:t xml:space="preserve">Optional Instructions to Vendors: </w:t>
      </w:r>
    </w:p>
    <w:p w14:paraId="2142D962" w14:textId="77777777" w:rsidR="008B1A73" w:rsidRPr="008B1A73" w:rsidRDefault="008B1A73" w:rsidP="008B0786">
      <w:pPr>
        <w:pStyle w:val="ListParagraph"/>
        <w:ind w:left="0" w:right="300"/>
        <w:jc w:val="both"/>
        <w:rPr>
          <w:b/>
          <w:bCs/>
          <w:color w:val="333333"/>
          <w:sz w:val="24"/>
          <w:szCs w:val="24"/>
          <w:lang w:val="en"/>
        </w:rPr>
      </w:pPr>
    </w:p>
    <w:p w14:paraId="6CE4C4AA" w14:textId="525CF3C1" w:rsidR="008B1A73" w:rsidRPr="008B1A73" w:rsidRDefault="008B1A73" w:rsidP="008B1A73">
      <w:pPr>
        <w:pStyle w:val="ListParagraph"/>
        <w:numPr>
          <w:ilvl w:val="0"/>
          <w:numId w:val="14"/>
        </w:numPr>
        <w:spacing w:before="100" w:beforeAutospacing="1" w:after="100" w:afterAutospacing="1"/>
        <w:ind w:left="360"/>
        <w:jc w:val="both"/>
        <w:rPr>
          <w:color w:val="000000"/>
          <w:sz w:val="24"/>
          <w:szCs w:val="24"/>
        </w:rPr>
      </w:pPr>
      <w:r>
        <w:t xml:space="preserve">  </w:t>
      </w:r>
      <w:sdt>
        <w:sdtPr>
          <w:id w:val="-88160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B1A73">
        <w:rPr>
          <w:color w:val="000000"/>
          <w:sz w:val="24"/>
          <w:szCs w:val="24"/>
        </w:rPr>
        <w:t>HIPAA - Under HIPAA, a “business associate” is a person or entity, other than a member of the workforce of a HIPAA covered entity, who performs functions or activities on behalf of, or provides certain services to, a HIPAA covered entity that involves access by the business associate to HIPAA protected health information. A “business associate” also is a subcontractor that creates, receives, maintains, or transmits HIPAA protected health information on behalf of another business associate. The HIPAA rules generally require that HIPAA covered entities and business associates enter into contracts with their business associates to ensure that the business associates will appropriately safeguard HIPAA protected health information. Therefore, if a Vendor qualifies as a business associate, it will be required to sign a HIPAA business associate agreement</w:t>
      </w:r>
    </w:p>
    <w:p w14:paraId="1F59AA71" w14:textId="60103475" w:rsidR="008B1A73" w:rsidRPr="008B1A73" w:rsidRDefault="008B1A73" w:rsidP="008B1A73">
      <w:pPr>
        <w:spacing w:before="100" w:beforeAutospacing="1" w:after="100" w:afterAutospacing="1"/>
        <w:ind w:left="360" w:hanging="360"/>
        <w:jc w:val="both"/>
        <w:rPr>
          <w:color w:val="000000"/>
          <w:sz w:val="24"/>
          <w:szCs w:val="24"/>
        </w:rPr>
      </w:pPr>
      <w:r w:rsidRPr="008B1A73">
        <w:rPr>
          <w:color w:val="000000"/>
          <w:sz w:val="24"/>
          <w:szCs w:val="24"/>
        </w:rPr>
        <w:t>16.</w:t>
      </w:r>
      <w:r w:rsidR="00B066C6">
        <w:t xml:space="preserve">  </w:t>
      </w:r>
      <w:sdt>
        <w:sdtPr>
          <w:id w:val="206846596"/>
          <w14:checkbox>
            <w14:checked w14:val="0"/>
            <w14:checkedState w14:val="2612" w14:font="MS Gothic"/>
            <w14:uncheckedState w14:val="2610" w14:font="MS Gothic"/>
          </w14:checkbox>
        </w:sdtPr>
        <w:sdtEndPr/>
        <w:sdtContent>
          <w:r w:rsidR="00B066C6">
            <w:rPr>
              <w:rFonts w:ascii="MS Gothic" w:eastAsia="MS Gothic" w:hAnsi="MS Gothic" w:hint="eastAsia"/>
            </w:rPr>
            <w:t>☐</w:t>
          </w:r>
        </w:sdtContent>
      </w:sdt>
      <w:r w:rsidR="00B066C6">
        <w:t xml:space="preserve">  </w:t>
      </w:r>
      <w:r w:rsidRPr="008B1A73">
        <w:rPr>
          <w:color w:val="000000"/>
          <w:sz w:val="24"/>
          <w:szCs w:val="24"/>
        </w:rPr>
        <w:t xml:space="preserve">Eligible Entity - </w:t>
      </w:r>
      <w:proofErr w:type="gramStart"/>
      <w:r w:rsidRPr="008B1A73">
        <w:rPr>
          <w:color w:val="000000"/>
          <w:sz w:val="24"/>
          <w:szCs w:val="24"/>
        </w:rPr>
        <w:t>In order to</w:t>
      </w:r>
      <w:proofErr w:type="gramEnd"/>
      <w:r w:rsidRPr="008B1A73">
        <w:rPr>
          <w:color w:val="000000"/>
          <w:sz w:val="24"/>
          <w:szCs w:val="24"/>
        </w:rPr>
        <w:t xml:space="preserve"> perform the contemplated services related to the Rhode Island Health Benefits Exchange (</w:t>
      </w:r>
      <w:proofErr w:type="spellStart"/>
      <w:r w:rsidRPr="008B1A73">
        <w:rPr>
          <w:color w:val="000000"/>
          <w:sz w:val="24"/>
          <w:szCs w:val="24"/>
        </w:rPr>
        <w:t>HealthSourceRI</w:t>
      </w:r>
      <w:proofErr w:type="spellEnd"/>
      <w:r w:rsidRPr="008B1A73">
        <w:rPr>
          <w:color w:val="000000"/>
          <w:sz w:val="24"/>
          <w:szCs w:val="24"/>
        </w:rPr>
        <w:t>), the vendor hereby certifies that it is an “eligible entity,” as defined by 45 C.F.R. § 155.110, in order to carry out one or more of the responsibilities of a health insurance exchange. The vendor agrees to indemnify and hold the State of Rhode Island harmless for all expenses that are deemed to be unallowable by the Federal government because it is determined that the vendor is not an “eligible entity,” as defined by 45 C.F.R. § 155.110.</w:t>
      </w:r>
    </w:p>
    <w:p w14:paraId="28B8D966" w14:textId="77777777" w:rsidR="00D42C85" w:rsidRPr="00446DC1" w:rsidRDefault="008B1A73" w:rsidP="00D42C85">
      <w:pPr>
        <w:spacing w:before="100" w:beforeAutospacing="1" w:after="100" w:afterAutospacing="1"/>
        <w:ind w:left="360" w:hanging="360"/>
        <w:jc w:val="both"/>
        <w:rPr>
          <w:color w:val="333333"/>
          <w:sz w:val="24"/>
          <w:szCs w:val="24"/>
          <w:lang w:val="en"/>
        </w:rPr>
      </w:pPr>
      <w:r w:rsidRPr="008B1A73">
        <w:rPr>
          <w:color w:val="000000"/>
          <w:sz w:val="24"/>
          <w:szCs w:val="24"/>
        </w:rPr>
        <w:t xml:space="preserve">20. </w:t>
      </w:r>
      <w:r w:rsidR="00B066C6">
        <w:t xml:space="preserve"> </w:t>
      </w:r>
      <w:sdt>
        <w:sdtPr>
          <w:id w:val="-781103685"/>
          <w14:checkbox>
            <w14:checked w14:val="0"/>
            <w14:checkedState w14:val="2612" w14:font="MS Gothic"/>
            <w14:uncheckedState w14:val="2610" w14:font="MS Gothic"/>
          </w14:checkbox>
        </w:sdtPr>
        <w:sdtEndPr/>
        <w:sdtContent>
          <w:r w:rsidR="00B066C6">
            <w:rPr>
              <w:rFonts w:ascii="MS Gothic" w:eastAsia="MS Gothic" w:hAnsi="MS Gothic" w:hint="eastAsia"/>
            </w:rPr>
            <w:t>☐</w:t>
          </w:r>
        </w:sdtContent>
      </w:sdt>
      <w:r w:rsidR="00B066C6">
        <w:t xml:space="preserve">  </w:t>
      </w:r>
      <w:r w:rsidRPr="008B1A73">
        <w:rPr>
          <w:color w:val="000000"/>
          <w:sz w:val="24"/>
          <w:szCs w:val="24"/>
        </w:rPr>
        <w:t xml:space="preserve">AIA Contract - </w:t>
      </w:r>
      <w:r w:rsidR="00D42C85" w:rsidRPr="00446DC1">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sidR="00D42C85" w:rsidRPr="00446DC1">
          <w:rPr>
            <w:rStyle w:val="Hyperlink"/>
            <w:sz w:val="24"/>
            <w:szCs w:val="24"/>
          </w:rPr>
          <w:t>https://documentsondemand.aia.org/?filter=Rhode</w:t>
        </w:r>
      </w:hyperlink>
      <w:r w:rsidR="00D42C85" w:rsidRPr="00446DC1">
        <w:rPr>
          <w:sz w:val="24"/>
          <w:szCs w:val="24"/>
        </w:rPr>
        <w:t xml:space="preserve">. Design Agents must obtain and utilize the Custom Rhode Island AIA Documents G701-2017, AIA G714-2017, AIA G802-2017, which can also be located at </w:t>
      </w:r>
      <w:hyperlink r:id="rId15" w:history="1">
        <w:r w:rsidR="00D42C85" w:rsidRPr="00446DC1">
          <w:rPr>
            <w:rStyle w:val="Hyperlink"/>
            <w:sz w:val="24"/>
            <w:szCs w:val="24"/>
          </w:rPr>
          <w:t>https://documentsondemand.aia.org/?filter=Rhode</w:t>
        </w:r>
      </w:hyperlink>
      <w:r w:rsidR="00D42C85" w:rsidRPr="00446DC1">
        <w:rPr>
          <w:sz w:val="24"/>
          <w:szCs w:val="24"/>
        </w:rPr>
        <w:t>. Full instructions will be included in the Tentative Selection Letter</w:t>
      </w:r>
      <w:r w:rsidR="00D42C85">
        <w:rPr>
          <w:sz w:val="24"/>
          <w:szCs w:val="24"/>
        </w:rPr>
        <w:t>.</w:t>
      </w:r>
    </w:p>
    <w:p w14:paraId="58117C41" w14:textId="3A55F90E" w:rsidR="00634118" w:rsidRPr="00837B74" w:rsidRDefault="00634118" w:rsidP="00276935">
      <w:pPr>
        <w:pStyle w:val="ListParagraph"/>
        <w:shd w:val="clear" w:color="auto" w:fill="BDD6EE" w:themeFill="accent1" w:themeFillTint="66"/>
        <w:ind w:left="0"/>
        <w:jc w:val="both"/>
        <w:outlineLvl w:val="0"/>
        <w:rPr>
          <w:b/>
          <w:sz w:val="24"/>
          <w:szCs w:val="24"/>
        </w:rPr>
      </w:pPr>
      <w:bookmarkStart w:id="1" w:name="_Toc443482861"/>
      <w:bookmarkStart w:id="2" w:name="_Toc443482881"/>
      <w:bookmarkStart w:id="3" w:name="_Toc511304819"/>
      <w:bookmarkStart w:id="4" w:name="_Toc522613429"/>
      <w:permEnd w:id="592909957"/>
      <w:r w:rsidRPr="00837B74">
        <w:rPr>
          <w:b/>
          <w:sz w:val="24"/>
          <w:szCs w:val="24"/>
        </w:rPr>
        <w:t xml:space="preserve">SECTION </w:t>
      </w:r>
      <w:r w:rsidR="00EC12E5">
        <w:rPr>
          <w:b/>
          <w:sz w:val="24"/>
          <w:szCs w:val="24"/>
        </w:rPr>
        <w:t>A</w:t>
      </w:r>
      <w:r w:rsidRPr="00837B74">
        <w:rPr>
          <w:b/>
          <w:sz w:val="24"/>
          <w:szCs w:val="24"/>
        </w:rPr>
        <w:t>. BACKGROUND</w:t>
      </w:r>
      <w:bookmarkEnd w:id="1"/>
      <w:bookmarkEnd w:id="2"/>
      <w:bookmarkEnd w:id="3"/>
      <w:bookmarkEnd w:id="4"/>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35D4639B" w14:textId="60882EFE" w:rsidR="00810D89" w:rsidRDefault="00810D89" w:rsidP="00810D89">
      <w:pPr>
        <w:rPr>
          <w:sz w:val="24"/>
          <w:szCs w:val="24"/>
        </w:rPr>
      </w:pPr>
      <w:r w:rsidRPr="002D2F94">
        <w:rPr>
          <w:sz w:val="24"/>
          <w:szCs w:val="24"/>
        </w:rPr>
        <w:t>The Green Buildings Act (</w:t>
      </w:r>
      <w:hyperlink r:id="rId16" w:history="1">
        <w:r w:rsidRPr="002D2F94">
          <w:rPr>
            <w:rStyle w:val="Hyperlink"/>
            <w:sz w:val="24"/>
            <w:szCs w:val="24"/>
          </w:rPr>
          <w:t>Rhode Island General Laws (RIGL) §37-24</w:t>
        </w:r>
      </w:hyperlink>
      <w:r w:rsidRPr="002D2F94">
        <w:rPr>
          <w:sz w:val="24"/>
          <w:szCs w:val="24"/>
        </w:rPr>
        <w:t>) requires eligible public buildings to meet green performance standards. Specifically, all new construction projects over 5,000 gross square feet, and all renovation projects over 10,000 gross square feet, constructed by a public agency must be designed and constructed to LEED Certified or an equivalent high performance green building standard.</w:t>
      </w:r>
    </w:p>
    <w:p w14:paraId="637FBEFB" w14:textId="77777777" w:rsidR="00810D89" w:rsidRPr="002D2F94" w:rsidRDefault="00810D89" w:rsidP="00810D89">
      <w:pPr>
        <w:rPr>
          <w:sz w:val="24"/>
          <w:szCs w:val="24"/>
        </w:rPr>
      </w:pPr>
    </w:p>
    <w:p w14:paraId="2FFE0F92" w14:textId="36CE94ED" w:rsidR="00810D89" w:rsidRDefault="00810D89" w:rsidP="00810D89">
      <w:pPr>
        <w:rPr>
          <w:sz w:val="24"/>
          <w:szCs w:val="24"/>
        </w:rPr>
      </w:pPr>
      <w:r w:rsidRPr="002D2F94">
        <w:rPr>
          <w:sz w:val="24"/>
          <w:szCs w:val="24"/>
        </w:rPr>
        <w:t xml:space="preserve">The </w:t>
      </w:r>
      <w:hyperlink r:id="rId17" w:history="1">
        <w:r w:rsidRPr="002D2F94">
          <w:rPr>
            <w:rStyle w:val="Hyperlink"/>
            <w:sz w:val="24"/>
            <w:szCs w:val="24"/>
          </w:rPr>
          <w:t>Green Buildings Advisory Committee</w:t>
        </w:r>
      </w:hyperlink>
      <w:r w:rsidRPr="002D2F94">
        <w:rPr>
          <w:sz w:val="24"/>
          <w:szCs w:val="24"/>
        </w:rPr>
        <w:t xml:space="preserve"> (henceforth, ‘Committee’) is charged with supporting the Department of Administration in implementing the Green Buildings Act. The Committee makes recommendations regarding an education and training process and an ongoing evaluation or feedback process to help the department implement the Act. The Committee’s 2020 Annual Report, which includes such recommendations, is available for reference </w:t>
      </w:r>
      <w:hyperlink r:id="rId18" w:history="1">
        <w:r w:rsidRPr="002D2F94">
          <w:rPr>
            <w:rStyle w:val="Hyperlink"/>
            <w:sz w:val="24"/>
            <w:szCs w:val="24"/>
          </w:rPr>
          <w:t>here</w:t>
        </w:r>
      </w:hyperlink>
      <w:r w:rsidRPr="002D2F94">
        <w:rPr>
          <w:sz w:val="24"/>
          <w:szCs w:val="24"/>
        </w:rPr>
        <w:t>.</w:t>
      </w:r>
    </w:p>
    <w:p w14:paraId="2E341799" w14:textId="77777777" w:rsidR="00810D89" w:rsidRPr="002D2F94" w:rsidRDefault="00810D89" w:rsidP="00810D89">
      <w:pPr>
        <w:rPr>
          <w:sz w:val="24"/>
          <w:szCs w:val="24"/>
        </w:rPr>
      </w:pPr>
    </w:p>
    <w:p w14:paraId="40A81AD9" w14:textId="1F7A17B5" w:rsidR="00810D89" w:rsidRDefault="00810D89" w:rsidP="00810D89">
      <w:pPr>
        <w:rPr>
          <w:sz w:val="24"/>
          <w:szCs w:val="24"/>
        </w:rPr>
      </w:pPr>
      <w:r w:rsidRPr="002D2F94">
        <w:rPr>
          <w:sz w:val="24"/>
          <w:szCs w:val="24"/>
        </w:rPr>
        <w:t xml:space="preserve">In 2021, Governor McKee signed into law the </w:t>
      </w:r>
      <w:hyperlink r:id="rId19" w:history="1">
        <w:r w:rsidRPr="002D2F94">
          <w:rPr>
            <w:rStyle w:val="Hyperlink"/>
            <w:sz w:val="24"/>
            <w:szCs w:val="24"/>
          </w:rPr>
          <w:t>2021 Act on Climate</w:t>
        </w:r>
      </w:hyperlink>
      <w:r w:rsidRPr="002D2F94">
        <w:rPr>
          <w:sz w:val="24"/>
          <w:szCs w:val="24"/>
        </w:rPr>
        <w:t xml:space="preserve">, which sets mandatory and enforceable greenhouse gas emissions reduction goals, including an interim goal of reducing emissions by 45% below 1990 levels by 2030 and eventually reaching net-zero emissions by 2050. The Administration and public entities have a role to lead by example in decarbonizing buildings, while ideally advancing other key objectives, including, but not limited to, reducing taxpayer </w:t>
      </w:r>
      <w:proofErr w:type="gramStart"/>
      <w:r w:rsidRPr="002D2F94">
        <w:rPr>
          <w:sz w:val="24"/>
          <w:szCs w:val="24"/>
        </w:rPr>
        <w:t>costs</w:t>
      </w:r>
      <w:proofErr w:type="gramEnd"/>
      <w:r w:rsidRPr="002D2F94">
        <w:rPr>
          <w:sz w:val="24"/>
          <w:szCs w:val="24"/>
        </w:rPr>
        <w:t xml:space="preserve"> and advancing non-energy benefits such as the safety of our buildings and the health, comfort, and productivity of the people who use them. The Green Buildings Act is a tool for requiring green performance standards for major public works projects. With the passing of the 2021 Act on Climate, the time is ripe for a strategic assessment of the Act.</w:t>
      </w:r>
    </w:p>
    <w:p w14:paraId="29EC4D67" w14:textId="77777777" w:rsidR="00810D89" w:rsidRPr="002D2F94" w:rsidRDefault="00810D89" w:rsidP="00810D89">
      <w:pPr>
        <w:rPr>
          <w:sz w:val="24"/>
          <w:szCs w:val="24"/>
        </w:rPr>
      </w:pPr>
    </w:p>
    <w:p w14:paraId="0C1AC343" w14:textId="77777777" w:rsidR="00810D89" w:rsidRPr="002D2F94" w:rsidRDefault="00810D89" w:rsidP="00810D89">
      <w:pPr>
        <w:rPr>
          <w:sz w:val="24"/>
          <w:szCs w:val="24"/>
        </w:rPr>
      </w:pPr>
      <w:r w:rsidRPr="002D2F94">
        <w:rPr>
          <w:sz w:val="24"/>
          <w:szCs w:val="24"/>
        </w:rPr>
        <w:t>In February 2022, the Director of the Department of Administration directed the Committee to conduct a study of the Green Buildings Act, to be delivered by the end of 2022. Specifically, the study should:</w:t>
      </w:r>
    </w:p>
    <w:p w14:paraId="79C19F4D" w14:textId="77777777" w:rsidR="00810D89" w:rsidRPr="002D2F94" w:rsidRDefault="00810D89" w:rsidP="00810D89">
      <w:pPr>
        <w:pStyle w:val="ListParagraph"/>
        <w:numPr>
          <w:ilvl w:val="0"/>
          <w:numId w:val="15"/>
        </w:numPr>
        <w:spacing w:after="160" w:line="259" w:lineRule="auto"/>
        <w:rPr>
          <w:sz w:val="24"/>
          <w:szCs w:val="24"/>
        </w:rPr>
      </w:pPr>
      <w:r w:rsidRPr="002D2F94">
        <w:rPr>
          <w:sz w:val="24"/>
          <w:szCs w:val="24"/>
        </w:rPr>
        <w:t>Identify best practices for implementing green building standards in other states. Best practices may be specific to public buildings or may extend to private buildings.</w:t>
      </w:r>
    </w:p>
    <w:p w14:paraId="1409557F" w14:textId="77777777" w:rsidR="00810D89" w:rsidRPr="002D2F94" w:rsidRDefault="00810D89" w:rsidP="00810D89">
      <w:pPr>
        <w:pStyle w:val="ListParagraph"/>
        <w:numPr>
          <w:ilvl w:val="0"/>
          <w:numId w:val="15"/>
        </w:numPr>
        <w:spacing w:after="160" w:line="259" w:lineRule="auto"/>
        <w:rPr>
          <w:sz w:val="24"/>
          <w:szCs w:val="24"/>
        </w:rPr>
      </w:pPr>
      <w:r w:rsidRPr="002D2F94">
        <w:rPr>
          <w:sz w:val="24"/>
          <w:szCs w:val="24"/>
        </w:rPr>
        <w:t>Assess awareness of the Green Buildings Act in Rhode Island.</w:t>
      </w:r>
    </w:p>
    <w:p w14:paraId="45219AD0" w14:textId="77777777" w:rsidR="00810D89" w:rsidRPr="002D2F94" w:rsidRDefault="00810D89" w:rsidP="00810D89">
      <w:pPr>
        <w:pStyle w:val="ListParagraph"/>
        <w:numPr>
          <w:ilvl w:val="0"/>
          <w:numId w:val="15"/>
        </w:numPr>
        <w:spacing w:after="160" w:line="259" w:lineRule="auto"/>
        <w:rPr>
          <w:sz w:val="24"/>
          <w:szCs w:val="24"/>
        </w:rPr>
      </w:pPr>
      <w:r w:rsidRPr="002D2F94">
        <w:rPr>
          <w:sz w:val="24"/>
          <w:szCs w:val="24"/>
        </w:rPr>
        <w:t>Estimate the costs and benefits of the Act, including but not limited to upfront costs, operational savings, environmental impacts, economic development impacts, job impacts, and occupant impacts, as well as who incurs these costs and benefits.</w:t>
      </w:r>
    </w:p>
    <w:p w14:paraId="353D07D0" w14:textId="77777777" w:rsidR="00810D89" w:rsidRPr="002D2F94" w:rsidRDefault="00810D89" w:rsidP="00810D89">
      <w:pPr>
        <w:pStyle w:val="ListParagraph"/>
        <w:numPr>
          <w:ilvl w:val="0"/>
          <w:numId w:val="15"/>
        </w:numPr>
        <w:spacing w:after="160" w:line="259" w:lineRule="auto"/>
        <w:rPr>
          <w:sz w:val="24"/>
          <w:szCs w:val="24"/>
        </w:rPr>
      </w:pPr>
      <w:r w:rsidRPr="002D2F94">
        <w:rPr>
          <w:sz w:val="24"/>
          <w:szCs w:val="24"/>
        </w:rPr>
        <w:t xml:space="preserve">Recommend ways in which we may amend the Green Buildings Act, including but not limited </w:t>
      </w:r>
      <w:r>
        <w:rPr>
          <w:sz w:val="24"/>
          <w:szCs w:val="24"/>
        </w:rPr>
        <w:t xml:space="preserve">to aligning the Act with the 2021 Act on Climate, clarifying </w:t>
      </w:r>
      <w:r w:rsidRPr="002D2F94">
        <w:rPr>
          <w:sz w:val="24"/>
          <w:szCs w:val="24"/>
        </w:rPr>
        <w:t>application of the Act</w:t>
      </w:r>
      <w:r>
        <w:rPr>
          <w:sz w:val="24"/>
          <w:szCs w:val="24"/>
        </w:rPr>
        <w:t>, and implementing</w:t>
      </w:r>
      <w:r w:rsidRPr="002D2F94">
        <w:rPr>
          <w:sz w:val="24"/>
          <w:szCs w:val="24"/>
        </w:rPr>
        <w:t xml:space="preserve"> green performance standards.</w:t>
      </w:r>
    </w:p>
    <w:p w14:paraId="59F741FE" w14:textId="01617FC6" w:rsidR="00634118" w:rsidRPr="00837B74" w:rsidRDefault="00810D89" w:rsidP="00810D89">
      <w:pPr>
        <w:pStyle w:val="BodyText"/>
        <w:jc w:val="both"/>
        <w:rPr>
          <w:spacing w:val="14"/>
          <w:sz w:val="24"/>
          <w:szCs w:val="24"/>
        </w:rPr>
      </w:pPr>
      <w:r w:rsidRPr="002D2F94">
        <w:rPr>
          <w:sz w:val="24"/>
          <w:szCs w:val="24"/>
        </w:rPr>
        <w:t>With this Request for Proposals, the Committee, on behalf of the Department of Administration, is seeking consultant services to conduct a study of the Green Buildings Act to be completed and delivered in its final version by November 15, 2022. The Committee anticipates contracting to be complete by July 2022, and to culminate in June 2023 to allow for additional opportunities for stakeholder engagement.</w:t>
      </w:r>
    </w:p>
    <w:p w14:paraId="7DABA2C2" w14:textId="77777777" w:rsidR="00634118" w:rsidRPr="00837B74" w:rsidRDefault="00634118" w:rsidP="00276935">
      <w:pPr>
        <w:jc w:val="both"/>
        <w:rPr>
          <w:spacing w:val="14"/>
          <w:sz w:val="24"/>
          <w:szCs w:val="24"/>
        </w:rPr>
      </w:pPr>
    </w:p>
    <w:p w14:paraId="3C8FE57C" w14:textId="48946A39"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5" w:name="_Toc443482864"/>
      <w:bookmarkStart w:id="6" w:name="_Toc443482884"/>
      <w:bookmarkStart w:id="7" w:name="_Toc511304821"/>
      <w:bookmarkStart w:id="8"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SCOPE OF WORK</w:t>
      </w:r>
      <w:bookmarkEnd w:id="5"/>
      <w:bookmarkEnd w:id="6"/>
      <w:r w:rsidR="005802BF" w:rsidRPr="00837B74">
        <w:rPr>
          <w:b/>
          <w:spacing w:val="14"/>
          <w:sz w:val="24"/>
          <w:szCs w:val="24"/>
        </w:rPr>
        <w:t xml:space="preserve"> AND REQUIREMENTS</w:t>
      </w:r>
      <w:bookmarkEnd w:id="7"/>
      <w:bookmarkEnd w:id="8"/>
    </w:p>
    <w:p w14:paraId="7763AD5F" w14:textId="77777777" w:rsidR="00634118" w:rsidRPr="00837B74" w:rsidRDefault="00634118" w:rsidP="00276935">
      <w:pPr>
        <w:jc w:val="both"/>
        <w:rPr>
          <w:b/>
          <w:spacing w:val="14"/>
          <w:sz w:val="24"/>
          <w:szCs w:val="24"/>
        </w:rPr>
      </w:pPr>
    </w:p>
    <w:p w14:paraId="536BF1FD" w14:textId="2B034DCD" w:rsidR="00B85D16" w:rsidRDefault="00B85D16" w:rsidP="00B85D16">
      <w:pPr>
        <w:rPr>
          <w:sz w:val="24"/>
          <w:szCs w:val="24"/>
        </w:rPr>
      </w:pPr>
      <w:r w:rsidRPr="002D2F94">
        <w:rPr>
          <w:sz w:val="24"/>
          <w:szCs w:val="24"/>
        </w:rPr>
        <w:t>The final report for this study is expected to be a polished, well-designed word-based report with graphical elements as needed to support clarity and interaction. The report must also include a graphically designed executive summary no longer than one page, and an appendix describing stakeholder engagement and public participation. Each major chapter of the report is described below in Tasks 1-5. Task 6 describes expectations for stakeholder engagement. Task 7 details project management and administration requirements.</w:t>
      </w:r>
    </w:p>
    <w:p w14:paraId="38CC83E5" w14:textId="77777777" w:rsidR="00B85D16" w:rsidRPr="002D2F94" w:rsidRDefault="00B85D16" w:rsidP="00B85D16">
      <w:pPr>
        <w:rPr>
          <w:sz w:val="24"/>
          <w:szCs w:val="24"/>
        </w:rPr>
      </w:pPr>
    </w:p>
    <w:p w14:paraId="6F2F673A" w14:textId="09E1747E" w:rsidR="00B85D16" w:rsidRDefault="00B85D16" w:rsidP="00B85D16">
      <w:pPr>
        <w:rPr>
          <w:sz w:val="24"/>
          <w:szCs w:val="24"/>
        </w:rPr>
      </w:pPr>
      <w:r w:rsidRPr="002D2F94">
        <w:rPr>
          <w:sz w:val="24"/>
          <w:szCs w:val="24"/>
        </w:rPr>
        <w:t>Rhode Island</w:t>
      </w:r>
      <w:r>
        <w:rPr>
          <w:sz w:val="24"/>
          <w:szCs w:val="24"/>
        </w:rPr>
        <w:t>-</w:t>
      </w:r>
      <w:r w:rsidRPr="002D2F94">
        <w:rPr>
          <w:sz w:val="24"/>
          <w:szCs w:val="24"/>
        </w:rPr>
        <w:t>specific studies and data that will be available to the selected bidder for use in completing the following tasks include</w:t>
      </w:r>
      <w:r>
        <w:rPr>
          <w:sz w:val="24"/>
          <w:szCs w:val="24"/>
        </w:rPr>
        <w:t>, but is not limited to</w:t>
      </w:r>
      <w:r w:rsidRPr="002D2F94">
        <w:rPr>
          <w:sz w:val="24"/>
          <w:szCs w:val="24"/>
        </w:rPr>
        <w:t>:</w:t>
      </w:r>
    </w:p>
    <w:p w14:paraId="293EB9ED" w14:textId="77777777" w:rsidR="00B85D16" w:rsidRPr="002D2F94" w:rsidRDefault="00B85D16" w:rsidP="00B85D16">
      <w:pPr>
        <w:rPr>
          <w:sz w:val="24"/>
          <w:szCs w:val="24"/>
        </w:rPr>
      </w:pPr>
    </w:p>
    <w:p w14:paraId="089800A1" w14:textId="77777777" w:rsidR="00B85D16" w:rsidRPr="002D2F94" w:rsidRDefault="00B85D16" w:rsidP="00B85D16">
      <w:pPr>
        <w:pStyle w:val="ListParagraph"/>
        <w:numPr>
          <w:ilvl w:val="0"/>
          <w:numId w:val="18"/>
        </w:numPr>
        <w:spacing w:after="160" w:line="259" w:lineRule="auto"/>
        <w:rPr>
          <w:sz w:val="24"/>
          <w:szCs w:val="24"/>
        </w:rPr>
      </w:pPr>
      <w:r w:rsidRPr="002D2F94">
        <w:rPr>
          <w:sz w:val="24"/>
          <w:szCs w:val="24"/>
        </w:rPr>
        <w:t xml:space="preserve">Green Buildings Advisory Committee </w:t>
      </w:r>
      <w:hyperlink r:id="rId20" w:history="1">
        <w:r w:rsidRPr="002D2F94">
          <w:rPr>
            <w:rStyle w:val="Hyperlink"/>
            <w:sz w:val="24"/>
            <w:szCs w:val="24"/>
          </w:rPr>
          <w:t>2020 Annual Report</w:t>
        </w:r>
      </w:hyperlink>
      <w:r w:rsidRPr="002D2F94">
        <w:rPr>
          <w:sz w:val="24"/>
          <w:szCs w:val="24"/>
        </w:rPr>
        <w:t xml:space="preserve"> and 2021 Annual Report (forthcoming) and underlying data</w:t>
      </w:r>
    </w:p>
    <w:p w14:paraId="4A5CCAF9" w14:textId="77777777" w:rsidR="00B85D16" w:rsidRPr="002D2F94" w:rsidRDefault="00B85D16" w:rsidP="00B85D16">
      <w:pPr>
        <w:pStyle w:val="ListParagraph"/>
        <w:numPr>
          <w:ilvl w:val="0"/>
          <w:numId w:val="18"/>
        </w:numPr>
        <w:spacing w:after="160" w:line="259" w:lineRule="auto"/>
        <w:rPr>
          <w:sz w:val="24"/>
          <w:szCs w:val="24"/>
        </w:rPr>
      </w:pPr>
      <w:r w:rsidRPr="002D2F94">
        <w:rPr>
          <w:sz w:val="24"/>
          <w:szCs w:val="24"/>
        </w:rPr>
        <w:t xml:space="preserve">Rhode Island Department of Education </w:t>
      </w:r>
      <w:hyperlink r:id="rId21" w:history="1">
        <w:r w:rsidRPr="002D2F94">
          <w:rPr>
            <w:rStyle w:val="Hyperlink"/>
            <w:sz w:val="24"/>
            <w:szCs w:val="24"/>
          </w:rPr>
          <w:t>Renewing the Dream</w:t>
        </w:r>
      </w:hyperlink>
      <w:r w:rsidRPr="002D2F94">
        <w:rPr>
          <w:sz w:val="24"/>
          <w:szCs w:val="24"/>
        </w:rPr>
        <w:t xml:space="preserve"> report</w:t>
      </w:r>
    </w:p>
    <w:p w14:paraId="64E38BEB" w14:textId="77777777" w:rsidR="00B85D16" w:rsidRPr="002D2F94" w:rsidRDefault="00B85D16" w:rsidP="00B85D16">
      <w:pPr>
        <w:pStyle w:val="ListParagraph"/>
        <w:numPr>
          <w:ilvl w:val="0"/>
          <w:numId w:val="18"/>
        </w:numPr>
        <w:spacing w:after="160" w:line="259" w:lineRule="auto"/>
        <w:rPr>
          <w:sz w:val="24"/>
          <w:szCs w:val="24"/>
        </w:rPr>
      </w:pPr>
      <w:r w:rsidRPr="002D2F94">
        <w:rPr>
          <w:sz w:val="24"/>
          <w:szCs w:val="24"/>
        </w:rPr>
        <w:t xml:space="preserve">Rhode Island Department of Education </w:t>
      </w:r>
      <w:hyperlink r:id="rId22" w:history="1">
        <w:r w:rsidRPr="002D2F94">
          <w:rPr>
            <w:rStyle w:val="Hyperlink"/>
            <w:sz w:val="24"/>
            <w:szCs w:val="24"/>
          </w:rPr>
          <w:t>Schoolhouse Energy Report Card</w:t>
        </w:r>
      </w:hyperlink>
    </w:p>
    <w:p w14:paraId="087BB1EE" w14:textId="77777777" w:rsidR="00B85D16" w:rsidRPr="002D2F94" w:rsidRDefault="00B85D16" w:rsidP="00B85D16">
      <w:pPr>
        <w:pStyle w:val="ListParagraph"/>
        <w:numPr>
          <w:ilvl w:val="0"/>
          <w:numId w:val="18"/>
        </w:numPr>
        <w:spacing w:after="160" w:line="259" w:lineRule="auto"/>
        <w:rPr>
          <w:sz w:val="24"/>
          <w:szCs w:val="24"/>
        </w:rPr>
      </w:pPr>
      <w:r w:rsidRPr="002D2F94">
        <w:rPr>
          <w:sz w:val="24"/>
          <w:szCs w:val="24"/>
        </w:rPr>
        <w:t xml:space="preserve">State </w:t>
      </w:r>
      <w:hyperlink r:id="rId23" w:history="1">
        <w:r w:rsidRPr="002D2F94">
          <w:rPr>
            <w:rStyle w:val="Hyperlink"/>
            <w:sz w:val="24"/>
            <w:szCs w:val="24"/>
          </w:rPr>
          <w:t>Lead-by-Example</w:t>
        </w:r>
      </w:hyperlink>
      <w:r w:rsidRPr="002D2F94">
        <w:rPr>
          <w:sz w:val="24"/>
          <w:szCs w:val="24"/>
        </w:rPr>
        <w:t xml:space="preserve"> reports and data</w:t>
      </w:r>
    </w:p>
    <w:p w14:paraId="0C65BF19" w14:textId="77777777" w:rsidR="00B85D16" w:rsidRPr="002D2F94" w:rsidRDefault="00B85D16" w:rsidP="00B85D16">
      <w:pPr>
        <w:pStyle w:val="ListParagraph"/>
        <w:numPr>
          <w:ilvl w:val="0"/>
          <w:numId w:val="18"/>
        </w:numPr>
        <w:spacing w:after="160" w:line="259" w:lineRule="auto"/>
        <w:rPr>
          <w:sz w:val="24"/>
          <w:szCs w:val="24"/>
        </w:rPr>
      </w:pPr>
      <w:r w:rsidRPr="002D2F94">
        <w:rPr>
          <w:sz w:val="24"/>
          <w:szCs w:val="24"/>
        </w:rPr>
        <w:t xml:space="preserve">Other </w:t>
      </w:r>
      <w:hyperlink r:id="rId24" w:history="1">
        <w:r w:rsidRPr="002D2F94">
          <w:rPr>
            <w:rStyle w:val="Hyperlink"/>
            <w:sz w:val="24"/>
            <w:szCs w:val="24"/>
          </w:rPr>
          <w:t>state reports</w:t>
        </w:r>
      </w:hyperlink>
      <w:r w:rsidRPr="002D2F94">
        <w:rPr>
          <w:sz w:val="24"/>
          <w:szCs w:val="24"/>
        </w:rPr>
        <w:t xml:space="preserve"> and </w:t>
      </w:r>
      <w:hyperlink r:id="rId25" w:history="1">
        <w:r w:rsidRPr="002D2F94">
          <w:rPr>
            <w:rStyle w:val="Hyperlink"/>
            <w:sz w:val="24"/>
            <w:szCs w:val="24"/>
          </w:rPr>
          <w:t>major initiatives</w:t>
        </w:r>
      </w:hyperlink>
      <w:r w:rsidRPr="002D2F94">
        <w:rPr>
          <w:sz w:val="24"/>
          <w:szCs w:val="24"/>
        </w:rPr>
        <w:t xml:space="preserve"> </w:t>
      </w:r>
    </w:p>
    <w:p w14:paraId="3660C812" w14:textId="77777777" w:rsidR="00B85D16" w:rsidRPr="002D2F94" w:rsidRDefault="00B85D16" w:rsidP="00B85D16">
      <w:pPr>
        <w:pStyle w:val="Headingb"/>
      </w:pPr>
      <w:r w:rsidRPr="002D2F94">
        <w:t>Task 1: Identify Best Practices</w:t>
      </w:r>
    </w:p>
    <w:p w14:paraId="39E837E7" w14:textId="18ECBA8A" w:rsidR="00B85D16" w:rsidRDefault="00B85D16" w:rsidP="00B85D16">
      <w:pPr>
        <w:rPr>
          <w:sz w:val="24"/>
          <w:szCs w:val="24"/>
        </w:rPr>
      </w:pPr>
      <w:r w:rsidRPr="6CF39B7E">
        <w:rPr>
          <w:sz w:val="24"/>
          <w:szCs w:val="24"/>
        </w:rPr>
        <w:t>The selected bidder shall conduct research to survey the landscape of green buildings standards, including application and strength; the implementation, compliance, reporting, and enforcement of those standards; mechanisms for requiring compliance throughout all project development stages; best practices for data collection; and other notable policy and legislative features, such as those related to the evolution of the strength of those standards over time. Jurisdictions of interest include states, colleges and universities, municipalities and municipal subdivisions (</w:t>
      </w:r>
      <w:proofErr w:type="gramStart"/>
      <w:r>
        <w:rPr>
          <w:sz w:val="24"/>
          <w:szCs w:val="24"/>
        </w:rPr>
        <w:t>e</w:t>
      </w:r>
      <w:r w:rsidRPr="6CF39B7E">
        <w:rPr>
          <w:sz w:val="24"/>
          <w:szCs w:val="24"/>
        </w:rPr>
        <w:t>.g.</w:t>
      </w:r>
      <w:proofErr w:type="gramEnd"/>
      <w:r w:rsidRPr="6CF39B7E">
        <w:rPr>
          <w:sz w:val="24"/>
          <w:szCs w:val="24"/>
        </w:rPr>
        <w:t xml:space="preserve"> fire districts), schools and local educational agencies, and may potentially extend to include certain types of privately owned buildings that receive public funding assistance. Buildings may be owned or leased; and may be new construction or retrofits. Best practices may differ between these types of buildings and ownership model, so they should be distinguished as such.</w:t>
      </w:r>
    </w:p>
    <w:p w14:paraId="4CBD0B83" w14:textId="77777777" w:rsidR="00B85D16" w:rsidRPr="002D2F94" w:rsidRDefault="00B85D16" w:rsidP="00B85D16">
      <w:pPr>
        <w:rPr>
          <w:sz w:val="24"/>
          <w:szCs w:val="24"/>
        </w:rPr>
      </w:pPr>
    </w:p>
    <w:p w14:paraId="1CB558D6" w14:textId="3056D4F4" w:rsidR="00B85D16" w:rsidRDefault="00B85D16" w:rsidP="00B85D16">
      <w:pPr>
        <w:rPr>
          <w:sz w:val="24"/>
          <w:szCs w:val="24"/>
        </w:rPr>
      </w:pPr>
      <w:r w:rsidRPr="002D2F94">
        <w:rPr>
          <w:sz w:val="24"/>
          <w:szCs w:val="24"/>
        </w:rPr>
        <w:t xml:space="preserve">The selected bidder shall summarize findings and, from those findings, identify best practices. Best practices may include, but is not limited to, legislative language, implementation protocols, and education and outreach. ‘Best’ is a subjective term, but for the purposes of this work may be considered as elements of green building performance standards that effectively advance any or </w:t>
      </w:r>
      <w:proofErr w:type="gramStart"/>
      <w:r w:rsidRPr="002D2F94">
        <w:rPr>
          <w:sz w:val="24"/>
          <w:szCs w:val="24"/>
        </w:rPr>
        <w:t>all of</w:t>
      </w:r>
      <w:proofErr w:type="gramEnd"/>
      <w:r w:rsidRPr="002D2F94">
        <w:rPr>
          <w:sz w:val="24"/>
          <w:szCs w:val="24"/>
        </w:rPr>
        <w:t xml:space="preserve"> the following objectives:</w:t>
      </w:r>
    </w:p>
    <w:p w14:paraId="0E345D06" w14:textId="77777777" w:rsidR="00B85D16" w:rsidRPr="002D2F94" w:rsidRDefault="00B85D16" w:rsidP="00B85D16">
      <w:pPr>
        <w:rPr>
          <w:sz w:val="24"/>
          <w:szCs w:val="24"/>
        </w:rPr>
      </w:pPr>
    </w:p>
    <w:p w14:paraId="741DBAE4" w14:textId="77777777" w:rsidR="00B85D16" w:rsidRPr="002D2F94" w:rsidRDefault="00B85D16" w:rsidP="00B85D16">
      <w:pPr>
        <w:pStyle w:val="ListParagraph"/>
        <w:numPr>
          <w:ilvl w:val="0"/>
          <w:numId w:val="16"/>
        </w:numPr>
        <w:spacing w:after="160" w:line="259" w:lineRule="auto"/>
        <w:rPr>
          <w:sz w:val="24"/>
          <w:szCs w:val="24"/>
        </w:rPr>
      </w:pPr>
      <w:r w:rsidRPr="002D2F94">
        <w:rPr>
          <w:sz w:val="24"/>
          <w:szCs w:val="24"/>
        </w:rPr>
        <w:t>Minimize total lifetime costs of owning, maintaining, and occupying buildings</w:t>
      </w:r>
    </w:p>
    <w:p w14:paraId="3397C307" w14:textId="77777777" w:rsidR="00B85D16" w:rsidRPr="002D2F94" w:rsidRDefault="00B85D16" w:rsidP="00B85D16">
      <w:pPr>
        <w:pStyle w:val="ListParagraph"/>
        <w:numPr>
          <w:ilvl w:val="0"/>
          <w:numId w:val="16"/>
        </w:numPr>
        <w:spacing w:after="160" w:line="259" w:lineRule="auto"/>
        <w:rPr>
          <w:sz w:val="24"/>
          <w:szCs w:val="24"/>
        </w:rPr>
      </w:pPr>
      <w:r w:rsidRPr="002D2F94">
        <w:rPr>
          <w:sz w:val="24"/>
          <w:szCs w:val="24"/>
        </w:rPr>
        <w:t>Minimize greenhouse gas emissions of the building stock</w:t>
      </w:r>
    </w:p>
    <w:p w14:paraId="6021A34E" w14:textId="77777777" w:rsidR="00B85D16" w:rsidRPr="002D2F94" w:rsidRDefault="00B85D16" w:rsidP="00B85D16">
      <w:pPr>
        <w:pStyle w:val="ListParagraph"/>
        <w:numPr>
          <w:ilvl w:val="0"/>
          <w:numId w:val="16"/>
        </w:numPr>
        <w:spacing w:after="160" w:line="259" w:lineRule="auto"/>
        <w:rPr>
          <w:sz w:val="24"/>
          <w:szCs w:val="24"/>
        </w:rPr>
      </w:pPr>
      <w:r w:rsidRPr="002D2F94">
        <w:rPr>
          <w:sz w:val="24"/>
          <w:szCs w:val="24"/>
        </w:rPr>
        <w:t>Optimize buildings to enhance non-energy benefits, including but not limited to occupant health, safety, and productivity</w:t>
      </w:r>
    </w:p>
    <w:p w14:paraId="0582D748" w14:textId="77777777" w:rsidR="00B85D16" w:rsidRPr="002D2F94" w:rsidRDefault="00B85D16" w:rsidP="00B85D16">
      <w:pPr>
        <w:pStyle w:val="ListParagraph"/>
        <w:numPr>
          <w:ilvl w:val="0"/>
          <w:numId w:val="16"/>
        </w:numPr>
        <w:spacing w:after="160" w:line="259" w:lineRule="auto"/>
        <w:rPr>
          <w:sz w:val="24"/>
          <w:szCs w:val="24"/>
        </w:rPr>
      </w:pPr>
      <w:r w:rsidRPr="002D2F94">
        <w:rPr>
          <w:sz w:val="24"/>
          <w:szCs w:val="24"/>
        </w:rPr>
        <w:t>Maximize use of sustainable materials and minimize waste</w:t>
      </w:r>
    </w:p>
    <w:p w14:paraId="0789A6DF" w14:textId="77777777" w:rsidR="00B85D16" w:rsidRPr="002D2F94" w:rsidRDefault="00B85D16" w:rsidP="00B85D16">
      <w:pPr>
        <w:pStyle w:val="ListParagraph"/>
        <w:numPr>
          <w:ilvl w:val="0"/>
          <w:numId w:val="16"/>
        </w:numPr>
        <w:spacing w:after="160" w:line="259" w:lineRule="auto"/>
        <w:rPr>
          <w:sz w:val="24"/>
          <w:szCs w:val="24"/>
        </w:rPr>
      </w:pPr>
      <w:r w:rsidRPr="002D2F94">
        <w:rPr>
          <w:sz w:val="24"/>
          <w:szCs w:val="24"/>
        </w:rPr>
        <w:t>Other objectives as they advance state policy goals</w:t>
      </w:r>
    </w:p>
    <w:p w14:paraId="46D377F4" w14:textId="0B6F7018"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xml:space="preserve">) a memo summarizing findings (e.g., relevant standards, legislation, and implementation of standards in </w:t>
      </w:r>
      <w:r>
        <w:rPr>
          <w:sz w:val="24"/>
          <w:szCs w:val="24"/>
        </w:rPr>
        <w:t>other states</w:t>
      </w:r>
      <w:r w:rsidRPr="002D2F94">
        <w:rPr>
          <w:sz w:val="24"/>
          <w:szCs w:val="24"/>
        </w:rPr>
        <w:t>) and (ii) a presentation on suggestions for best practices and considerations for further discussion.</w:t>
      </w:r>
    </w:p>
    <w:p w14:paraId="4D2BF17B" w14:textId="77777777" w:rsidR="00B85D16" w:rsidRPr="002D2F94" w:rsidRDefault="00B85D16" w:rsidP="00B85D16">
      <w:pPr>
        <w:rPr>
          <w:sz w:val="24"/>
          <w:szCs w:val="24"/>
        </w:rPr>
      </w:pPr>
    </w:p>
    <w:p w14:paraId="39AD954C" w14:textId="77777777" w:rsidR="00B85D16" w:rsidRPr="002D2F94" w:rsidRDefault="00B85D16" w:rsidP="00B85D16">
      <w:pPr>
        <w:pStyle w:val="Headingb"/>
      </w:pPr>
      <w:r w:rsidRPr="002D2F94">
        <w:t>Task 2: Assess Awareness of the Act</w:t>
      </w:r>
    </w:p>
    <w:p w14:paraId="53454D4A" w14:textId="29DBCE55" w:rsidR="00B85D16" w:rsidRDefault="00B85D16" w:rsidP="00B85D16">
      <w:pPr>
        <w:rPr>
          <w:sz w:val="24"/>
          <w:szCs w:val="24"/>
        </w:rPr>
      </w:pPr>
      <w:r w:rsidRPr="002D2F94">
        <w:rPr>
          <w:sz w:val="24"/>
          <w:szCs w:val="24"/>
        </w:rPr>
        <w:t>The selected bidder shall use pre-collected reporting data (available from the Committee in Excel format, data collected in the first quarter of 2022) to assess awareness of the Green Buildings Act across all eligible public entities in Rhode Island. The selected bidder shall conduct additional data collection and analysis beyond the reports and data listed above as needed to estimate awareness and make recommendations for improving awareness and compliance.</w:t>
      </w:r>
    </w:p>
    <w:p w14:paraId="708753C4" w14:textId="77777777" w:rsidR="00B85D16" w:rsidRPr="002D2F94" w:rsidRDefault="00B85D16" w:rsidP="00B85D16">
      <w:pPr>
        <w:rPr>
          <w:sz w:val="24"/>
          <w:szCs w:val="24"/>
        </w:rPr>
      </w:pPr>
    </w:p>
    <w:p w14:paraId="24B2F111" w14:textId="12A56B96" w:rsidR="00B85D16" w:rsidRDefault="00B85D16" w:rsidP="00B85D16">
      <w:pPr>
        <w:rPr>
          <w:sz w:val="24"/>
          <w:szCs w:val="24"/>
        </w:rPr>
      </w:pPr>
      <w:proofErr w:type="gramStart"/>
      <w:r w:rsidRPr="002D2F94">
        <w:rPr>
          <w:sz w:val="24"/>
          <w:szCs w:val="24"/>
        </w:rPr>
        <w:t>In order to</w:t>
      </w:r>
      <w:proofErr w:type="gramEnd"/>
      <w:r w:rsidRPr="002D2F94">
        <w:rPr>
          <w:sz w:val="24"/>
          <w:szCs w:val="24"/>
        </w:rPr>
        <w:t xml:space="preserve"> support completion of the task, the selected bidder shall interview up to ten public agencies, with at least one being from each of the following categories: state, higher education, schools, and municipalities. The selected bidder shall make a recommendation for who to interview and shall work with the Project Team to draft and refine a survey instrument.</w:t>
      </w:r>
    </w:p>
    <w:p w14:paraId="6F1D03D3" w14:textId="77777777" w:rsidR="00B85D16" w:rsidRPr="002D2F94" w:rsidRDefault="00B85D16" w:rsidP="00B85D16">
      <w:pPr>
        <w:rPr>
          <w:sz w:val="24"/>
          <w:szCs w:val="24"/>
        </w:rPr>
      </w:pPr>
    </w:p>
    <w:p w14:paraId="7FD6E334" w14:textId="4728A78B"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a memo describing data and methods, (ii) a memo recommending interview methods, (iii) a draft survey instrument, and (iv) a memo describing findings.</w:t>
      </w:r>
    </w:p>
    <w:p w14:paraId="7DB05CEE" w14:textId="77777777" w:rsidR="00B85D16" w:rsidRPr="002D2F94" w:rsidRDefault="00B85D16" w:rsidP="00B85D16">
      <w:pPr>
        <w:rPr>
          <w:sz w:val="24"/>
          <w:szCs w:val="24"/>
        </w:rPr>
      </w:pPr>
    </w:p>
    <w:p w14:paraId="71D72D69" w14:textId="77777777" w:rsidR="00B85D16" w:rsidRPr="002D2F94" w:rsidRDefault="00B85D16" w:rsidP="00B85D16">
      <w:pPr>
        <w:pStyle w:val="Headingb"/>
      </w:pPr>
      <w:r w:rsidRPr="002D2F94">
        <w:t>Task 3: Clarifying Application of the Act</w:t>
      </w:r>
    </w:p>
    <w:p w14:paraId="66F60828" w14:textId="71EA03B4" w:rsidR="00B85D16" w:rsidRDefault="00B85D16" w:rsidP="00B85D16">
      <w:pPr>
        <w:rPr>
          <w:sz w:val="24"/>
          <w:szCs w:val="24"/>
        </w:rPr>
      </w:pPr>
      <w:r w:rsidRPr="002D2F94">
        <w:rPr>
          <w:sz w:val="24"/>
          <w:szCs w:val="24"/>
        </w:rPr>
        <w:t>Using best practices from Task 1 and findings from Task 2, the selected bidder shall offer recommendations for how to clarify application of the Act. Clarification may include, but is not limited to, potential legislation or legislative amendments, direct outreach strategies, education, or other pathways. Application may be specific to public entities or may extend to private projects that are funded with public monies.</w:t>
      </w:r>
    </w:p>
    <w:p w14:paraId="399D0A4D" w14:textId="77777777" w:rsidR="00B85D16" w:rsidRPr="002D2F94" w:rsidRDefault="00B85D16" w:rsidP="00B85D16">
      <w:pPr>
        <w:rPr>
          <w:sz w:val="24"/>
          <w:szCs w:val="24"/>
        </w:rPr>
      </w:pPr>
    </w:p>
    <w:p w14:paraId="07A3DFD8" w14:textId="58A0F3D4"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xml:space="preserve">) a presentation on ways to clarify application of the Act. </w:t>
      </w:r>
    </w:p>
    <w:p w14:paraId="31B6ED46" w14:textId="77777777" w:rsidR="00B85D16" w:rsidRPr="002D2F94" w:rsidRDefault="00B85D16" w:rsidP="00B85D16">
      <w:pPr>
        <w:rPr>
          <w:sz w:val="24"/>
          <w:szCs w:val="24"/>
        </w:rPr>
      </w:pPr>
    </w:p>
    <w:p w14:paraId="34CF17DE" w14:textId="77777777" w:rsidR="00B85D16" w:rsidRPr="002D2F94" w:rsidRDefault="00B85D16" w:rsidP="00B85D16">
      <w:pPr>
        <w:pStyle w:val="Headingb"/>
      </w:pPr>
      <w:r w:rsidRPr="002D2F94">
        <w:t xml:space="preserve">Task 4: </w:t>
      </w:r>
      <w:r>
        <w:t>Considerations for Amending the Act</w:t>
      </w:r>
    </w:p>
    <w:p w14:paraId="07D3748C" w14:textId="51B9676D" w:rsidR="00B85D16" w:rsidRDefault="00B85D16" w:rsidP="00B85D16">
      <w:pPr>
        <w:rPr>
          <w:sz w:val="24"/>
          <w:szCs w:val="24"/>
        </w:rPr>
      </w:pPr>
      <w:r w:rsidRPr="002D2F94">
        <w:rPr>
          <w:sz w:val="24"/>
          <w:szCs w:val="24"/>
        </w:rPr>
        <w:t>Using best practices identified in Task 1, the selected bidder shall identify potential amendments to the Act. Potential amendments should modify the Act to advance the following objectives:</w:t>
      </w:r>
    </w:p>
    <w:p w14:paraId="50C1A7FF" w14:textId="77777777" w:rsidR="00B85D16" w:rsidRPr="002D2F94" w:rsidRDefault="00B85D16" w:rsidP="00B85D16">
      <w:pPr>
        <w:rPr>
          <w:sz w:val="24"/>
          <w:szCs w:val="24"/>
        </w:rPr>
      </w:pPr>
    </w:p>
    <w:p w14:paraId="562ACA9E" w14:textId="77777777" w:rsidR="00B85D16" w:rsidRPr="002D2F94" w:rsidRDefault="00B85D16" w:rsidP="00B85D16">
      <w:pPr>
        <w:pStyle w:val="ListParagraph"/>
        <w:numPr>
          <w:ilvl w:val="0"/>
          <w:numId w:val="17"/>
        </w:numPr>
        <w:spacing w:after="160" w:line="259" w:lineRule="auto"/>
        <w:rPr>
          <w:sz w:val="24"/>
          <w:szCs w:val="24"/>
        </w:rPr>
      </w:pPr>
      <w:r w:rsidRPr="002D2F94">
        <w:rPr>
          <w:sz w:val="24"/>
          <w:szCs w:val="24"/>
        </w:rPr>
        <w:t>Align the Green Buildings Act with the 2021 Act on Climate such that applicable buildings are anticipated to deliver optimal greenhouse gas emissions reductions in support of greenhouse gas emissions reduction mandates for 2030, 2040, and 2050.</w:t>
      </w:r>
    </w:p>
    <w:p w14:paraId="42ABEC3C" w14:textId="77777777" w:rsidR="00B85D16" w:rsidRPr="002D2F94" w:rsidRDefault="00B85D16" w:rsidP="00B85D16">
      <w:pPr>
        <w:pStyle w:val="ListParagraph"/>
        <w:numPr>
          <w:ilvl w:val="0"/>
          <w:numId w:val="17"/>
        </w:numPr>
        <w:spacing w:after="160" w:line="259" w:lineRule="auto"/>
        <w:rPr>
          <w:sz w:val="24"/>
          <w:szCs w:val="24"/>
        </w:rPr>
      </w:pPr>
      <w:r w:rsidRPr="002D2F94">
        <w:rPr>
          <w:sz w:val="24"/>
          <w:szCs w:val="24"/>
        </w:rPr>
        <w:t>Equitably align who receives benefits of compliance with the Act to who incurs the costs.</w:t>
      </w:r>
    </w:p>
    <w:p w14:paraId="589295A8" w14:textId="77777777" w:rsidR="00B85D16" w:rsidRPr="002D2F94" w:rsidRDefault="00B85D16" w:rsidP="00B85D16">
      <w:pPr>
        <w:pStyle w:val="ListParagraph"/>
        <w:numPr>
          <w:ilvl w:val="0"/>
          <w:numId w:val="17"/>
        </w:numPr>
        <w:spacing w:after="160" w:line="259" w:lineRule="auto"/>
        <w:rPr>
          <w:sz w:val="24"/>
          <w:szCs w:val="24"/>
        </w:rPr>
      </w:pPr>
      <w:r w:rsidRPr="002D2F94">
        <w:rPr>
          <w:sz w:val="24"/>
          <w:szCs w:val="24"/>
        </w:rPr>
        <w:t>Other state policy objectives as identified.</w:t>
      </w:r>
    </w:p>
    <w:p w14:paraId="0A844266" w14:textId="666F7CC2" w:rsidR="00B85D16" w:rsidRDefault="00B85D16" w:rsidP="00B85D16">
      <w:pPr>
        <w:rPr>
          <w:sz w:val="24"/>
          <w:szCs w:val="24"/>
        </w:rPr>
      </w:pPr>
      <w:r>
        <w:rPr>
          <w:sz w:val="24"/>
          <w:szCs w:val="24"/>
        </w:rPr>
        <w:t xml:space="preserve">The selected bidder will then collaborate with the Project Management Team and Green Buildings Advisory Committee to develop up to three scenarios of potential amendments for further consideration. Using the Act currently in force and these three scenarios, the selected bidder </w:t>
      </w:r>
      <w:r w:rsidRPr="002D2F94">
        <w:rPr>
          <w:sz w:val="24"/>
          <w:szCs w:val="24"/>
        </w:rPr>
        <w:t>shall then estimate the costs and benefits of compliance with the Act. Costs and benefits should include, but are not limited to, upfront costs, operational savings, environmental impacts, economic development impacts, job impacts, and occupant impacts. The selected bidder shall also describe who incurs these costs and benefits within the status quo and amendment scenarios.</w:t>
      </w:r>
    </w:p>
    <w:p w14:paraId="5E11F923" w14:textId="77777777" w:rsidR="00B85D16" w:rsidRPr="002D2F94" w:rsidRDefault="00B85D16" w:rsidP="00B85D16">
      <w:pPr>
        <w:rPr>
          <w:sz w:val="24"/>
          <w:szCs w:val="24"/>
        </w:rPr>
      </w:pPr>
    </w:p>
    <w:p w14:paraId="0EF3F9E8" w14:textId="728FABAC"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a presentation on potential amendments, (ii) a memo on the methodology of assessing costs and benefits, (iii) an excel workbook containing all analysis, assumptions, equations, and results and (iv) a presentation on findings.</w:t>
      </w:r>
    </w:p>
    <w:p w14:paraId="0CB9DE46" w14:textId="77777777" w:rsidR="00B85D16" w:rsidRPr="002D2F94" w:rsidRDefault="00B85D16" w:rsidP="00B85D16">
      <w:pPr>
        <w:rPr>
          <w:sz w:val="24"/>
          <w:szCs w:val="24"/>
        </w:rPr>
      </w:pPr>
    </w:p>
    <w:p w14:paraId="40C6EB42" w14:textId="77777777" w:rsidR="00B85D16" w:rsidRPr="002D2F94" w:rsidRDefault="00B85D16" w:rsidP="00B85D16">
      <w:pPr>
        <w:pStyle w:val="Headingb"/>
      </w:pPr>
      <w:r w:rsidRPr="002D2F94">
        <w:t>Task 5: Recommendations</w:t>
      </w:r>
    </w:p>
    <w:p w14:paraId="2A3C22BD" w14:textId="5190CF69" w:rsidR="00B85D16" w:rsidRDefault="00B85D16" w:rsidP="00B85D16">
      <w:pPr>
        <w:rPr>
          <w:sz w:val="24"/>
          <w:szCs w:val="24"/>
        </w:rPr>
      </w:pPr>
      <w:r w:rsidRPr="002D2F94">
        <w:rPr>
          <w:sz w:val="24"/>
          <w:szCs w:val="24"/>
        </w:rPr>
        <w:t>Using findings from Tasks 1-4, the Selected Bidder shall make a suite of recommendations in relation to the Act, which may include, but is not limited to, potential legislation or legislative amendments, implementation, compliance, enforcement, technical assistance, financial assistance, education, outreach, the role of lead-by-example initiatives, and workforce development. Recommendations may be differentiated between building type, ownership, or other criteria. The selected bidder shall also include an estimate of the impact of adopted such recommendations on greenhouse gas emissions, represented as both MMTCO2e and percentage reduction below Rhode Island’s 1990 baseline.</w:t>
      </w:r>
    </w:p>
    <w:p w14:paraId="3B71E0E3" w14:textId="77777777" w:rsidR="00B85D16" w:rsidRPr="002D2F94" w:rsidRDefault="00B85D16" w:rsidP="00B85D16">
      <w:pPr>
        <w:rPr>
          <w:sz w:val="24"/>
          <w:szCs w:val="24"/>
        </w:rPr>
      </w:pPr>
    </w:p>
    <w:p w14:paraId="600D6561" w14:textId="1ACD33F7"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a memo on draft recommendations.</w:t>
      </w:r>
    </w:p>
    <w:p w14:paraId="4D4F59DB" w14:textId="77777777" w:rsidR="00B85D16" w:rsidRPr="002D2F94" w:rsidRDefault="00B85D16" w:rsidP="00B85D16">
      <w:pPr>
        <w:rPr>
          <w:sz w:val="24"/>
          <w:szCs w:val="24"/>
        </w:rPr>
      </w:pPr>
    </w:p>
    <w:p w14:paraId="7CF72755" w14:textId="77777777" w:rsidR="00B85D16" w:rsidRPr="002D2F94" w:rsidRDefault="00B85D16" w:rsidP="00B85D16">
      <w:pPr>
        <w:pStyle w:val="Headingb"/>
      </w:pPr>
      <w:r w:rsidRPr="002D2F94">
        <w:t>Task 6: Stakeholder Engagement and Public Participation</w:t>
      </w:r>
    </w:p>
    <w:p w14:paraId="30ACD3B4" w14:textId="7836F934" w:rsidR="00B85D16" w:rsidRDefault="00B85D16" w:rsidP="00B85D16">
      <w:pPr>
        <w:rPr>
          <w:sz w:val="24"/>
          <w:szCs w:val="24"/>
        </w:rPr>
      </w:pPr>
      <w:r w:rsidRPr="002D2F94">
        <w:rPr>
          <w:sz w:val="24"/>
          <w:szCs w:val="24"/>
        </w:rPr>
        <w:t xml:space="preserve">Throughout this study, the selected bidder shall engage with stakeholders and encourage public participation. The selected bidder, in collaboration with the Committee, shall identify key stakeholders with </w:t>
      </w:r>
      <w:r>
        <w:rPr>
          <w:sz w:val="24"/>
          <w:szCs w:val="24"/>
        </w:rPr>
        <w:t>whom</w:t>
      </w:r>
      <w:r w:rsidRPr="002D2F94">
        <w:rPr>
          <w:sz w:val="24"/>
          <w:szCs w:val="24"/>
        </w:rPr>
        <w:t xml:space="preserve"> to engage to strengthen the rigor of this study. The selected bidder, in collaboration with the Committee, shall also identify opportunities for public participation</w:t>
      </w:r>
      <w:r>
        <w:rPr>
          <w:sz w:val="24"/>
          <w:szCs w:val="24"/>
        </w:rPr>
        <w:t>, including at minimum opportunities to suggest best practices, comment on amendment scenarios, comment on benefit-cost analysis methodology and results, and comment on final recommendations</w:t>
      </w:r>
      <w:r w:rsidRPr="002D2F94">
        <w:rPr>
          <w:sz w:val="24"/>
          <w:szCs w:val="24"/>
        </w:rPr>
        <w:t>.</w:t>
      </w:r>
    </w:p>
    <w:p w14:paraId="70032724" w14:textId="77777777" w:rsidR="00B85D16" w:rsidRPr="002D2F94" w:rsidRDefault="00B85D16" w:rsidP="00B85D16">
      <w:pPr>
        <w:rPr>
          <w:sz w:val="24"/>
          <w:szCs w:val="24"/>
        </w:rPr>
      </w:pPr>
    </w:p>
    <w:p w14:paraId="7142628D" w14:textId="4401759B" w:rsidR="00B85D16" w:rsidRDefault="00B85D16" w:rsidP="00B85D16">
      <w:pPr>
        <w:rPr>
          <w:sz w:val="24"/>
          <w:szCs w:val="24"/>
        </w:rPr>
      </w:pPr>
      <w:r w:rsidRPr="002D2F94">
        <w:rPr>
          <w:sz w:val="24"/>
          <w:szCs w:val="24"/>
        </w:rPr>
        <w:t>The selected bidder shall provide (</w:t>
      </w:r>
      <w:proofErr w:type="spellStart"/>
      <w:r w:rsidRPr="002D2F94">
        <w:rPr>
          <w:sz w:val="24"/>
          <w:szCs w:val="24"/>
        </w:rPr>
        <w:t>i</w:t>
      </w:r>
      <w:proofErr w:type="spellEnd"/>
      <w:r w:rsidRPr="002D2F94">
        <w:rPr>
          <w:sz w:val="24"/>
          <w:szCs w:val="24"/>
        </w:rPr>
        <w:t xml:space="preserve">) a workplan specific to stakeholder engagement and public participation. </w:t>
      </w:r>
    </w:p>
    <w:p w14:paraId="070999F2" w14:textId="77777777" w:rsidR="00B85D16" w:rsidRPr="002D2F94" w:rsidRDefault="00B85D16" w:rsidP="00B85D16">
      <w:pPr>
        <w:rPr>
          <w:sz w:val="24"/>
          <w:szCs w:val="24"/>
        </w:rPr>
      </w:pPr>
    </w:p>
    <w:p w14:paraId="1ACBA3FA" w14:textId="77777777" w:rsidR="00B85D16" w:rsidRPr="002D2F94" w:rsidRDefault="00B85D16" w:rsidP="00B85D16">
      <w:pPr>
        <w:pStyle w:val="Headingb"/>
      </w:pPr>
      <w:r w:rsidRPr="002D2F94">
        <w:t>Task 7: Project Management</w:t>
      </w:r>
    </w:p>
    <w:p w14:paraId="115E5EE7" w14:textId="16639C34" w:rsidR="00B85D16" w:rsidRDefault="00B85D16" w:rsidP="00B85D16">
      <w:pPr>
        <w:rPr>
          <w:sz w:val="24"/>
          <w:szCs w:val="24"/>
        </w:rPr>
      </w:pPr>
      <w:r w:rsidRPr="002D2F94">
        <w:rPr>
          <w:sz w:val="24"/>
          <w:szCs w:val="24"/>
        </w:rPr>
        <w:t>The selected bidder is expected to work collaboratively with the Committee and its Project Management Team. The Project Management Team is a sub-committee of three Committee Members representing the Office of Energy Resources, the Office of the Building Code Commissioner, and the Rhode Island Department of Education.</w:t>
      </w:r>
    </w:p>
    <w:p w14:paraId="066C2EB7" w14:textId="77777777" w:rsidR="00B85D16" w:rsidRPr="002D2F94" w:rsidRDefault="00B85D16" w:rsidP="00B85D16">
      <w:pPr>
        <w:rPr>
          <w:sz w:val="24"/>
          <w:szCs w:val="24"/>
        </w:rPr>
      </w:pPr>
    </w:p>
    <w:p w14:paraId="6C6B766B" w14:textId="7F48E251" w:rsidR="00B85D16" w:rsidRDefault="00B85D16" w:rsidP="00B85D16">
      <w:pPr>
        <w:rPr>
          <w:sz w:val="24"/>
          <w:szCs w:val="24"/>
        </w:rPr>
      </w:pPr>
      <w:r w:rsidRPr="002D2F94">
        <w:rPr>
          <w:sz w:val="24"/>
          <w:szCs w:val="24"/>
        </w:rPr>
        <w:t>The selected bidder is expected to coordinate remote bi-weekly check-in meetings with the Project Management Team, including identifying meeting times, sending calendar invites, developing agendas, and taking meeting notes. The first such meeting will be a kickoff meeting following contract execution.</w:t>
      </w:r>
    </w:p>
    <w:p w14:paraId="2A1F3457" w14:textId="77777777" w:rsidR="00B85D16" w:rsidRPr="002D2F94" w:rsidRDefault="00B85D16" w:rsidP="00B85D16">
      <w:pPr>
        <w:rPr>
          <w:sz w:val="24"/>
          <w:szCs w:val="24"/>
        </w:rPr>
      </w:pPr>
    </w:p>
    <w:p w14:paraId="71AAD10B" w14:textId="0A27AB46" w:rsidR="00B85D16" w:rsidRDefault="00B85D16" w:rsidP="00B85D16">
      <w:pPr>
        <w:rPr>
          <w:sz w:val="24"/>
          <w:szCs w:val="24"/>
        </w:rPr>
      </w:pPr>
      <w:r w:rsidRPr="002D2F94">
        <w:rPr>
          <w:sz w:val="24"/>
          <w:szCs w:val="24"/>
        </w:rPr>
        <w:t>The selected bidder’s proposed workplan should be responsive to the following timeline:</w:t>
      </w:r>
    </w:p>
    <w:p w14:paraId="2EE262B7" w14:textId="77777777" w:rsidR="00B85D16" w:rsidRPr="002D2F94" w:rsidRDefault="00B85D16" w:rsidP="00B85D16">
      <w:pPr>
        <w:rPr>
          <w:sz w:val="24"/>
          <w:szCs w:val="24"/>
        </w:rPr>
      </w:pPr>
    </w:p>
    <w:tbl>
      <w:tblPr>
        <w:tblStyle w:val="TableGrid"/>
        <w:tblW w:w="0" w:type="auto"/>
        <w:jc w:val="center"/>
        <w:tblLook w:val="04A0" w:firstRow="1" w:lastRow="0" w:firstColumn="1" w:lastColumn="0" w:noHBand="0" w:noVBand="1"/>
      </w:tblPr>
      <w:tblGrid>
        <w:gridCol w:w="1795"/>
        <w:gridCol w:w="3777"/>
        <w:gridCol w:w="3778"/>
      </w:tblGrid>
      <w:tr w:rsidR="00B85D16" w:rsidRPr="002D2F94" w14:paraId="388EFDD2" w14:textId="77777777" w:rsidTr="00895C9B">
        <w:trPr>
          <w:jc w:val="center"/>
        </w:trPr>
        <w:tc>
          <w:tcPr>
            <w:tcW w:w="1795" w:type="dxa"/>
            <w:vAlign w:val="center"/>
          </w:tcPr>
          <w:p w14:paraId="41227BAC" w14:textId="77777777" w:rsidR="00B85D16" w:rsidRPr="002D2F94" w:rsidRDefault="00B85D16" w:rsidP="00895C9B">
            <w:pPr>
              <w:jc w:val="center"/>
              <w:rPr>
                <w:b/>
                <w:bCs/>
                <w:sz w:val="24"/>
                <w:szCs w:val="24"/>
              </w:rPr>
            </w:pPr>
            <w:r w:rsidRPr="002D2F94">
              <w:rPr>
                <w:b/>
                <w:bCs/>
                <w:sz w:val="24"/>
                <w:szCs w:val="24"/>
              </w:rPr>
              <w:t>Timing</w:t>
            </w:r>
          </w:p>
        </w:tc>
        <w:tc>
          <w:tcPr>
            <w:tcW w:w="3777" w:type="dxa"/>
            <w:vAlign w:val="center"/>
          </w:tcPr>
          <w:p w14:paraId="62EF45E1" w14:textId="77777777" w:rsidR="00B85D16" w:rsidRPr="002D2F94" w:rsidRDefault="00B85D16" w:rsidP="00895C9B">
            <w:pPr>
              <w:jc w:val="center"/>
              <w:rPr>
                <w:b/>
                <w:bCs/>
                <w:sz w:val="24"/>
                <w:szCs w:val="24"/>
              </w:rPr>
            </w:pPr>
            <w:r w:rsidRPr="002D2F94">
              <w:rPr>
                <w:b/>
                <w:bCs/>
                <w:sz w:val="24"/>
                <w:szCs w:val="24"/>
              </w:rPr>
              <w:t>Task</w:t>
            </w:r>
          </w:p>
        </w:tc>
        <w:tc>
          <w:tcPr>
            <w:tcW w:w="3778" w:type="dxa"/>
            <w:vAlign w:val="center"/>
          </w:tcPr>
          <w:p w14:paraId="1058C51F" w14:textId="77777777" w:rsidR="00B85D16" w:rsidRPr="002D2F94" w:rsidRDefault="00B85D16" w:rsidP="00895C9B">
            <w:pPr>
              <w:jc w:val="center"/>
              <w:rPr>
                <w:b/>
                <w:bCs/>
                <w:sz w:val="24"/>
                <w:szCs w:val="24"/>
              </w:rPr>
            </w:pPr>
            <w:r w:rsidRPr="002D2F94">
              <w:rPr>
                <w:b/>
                <w:bCs/>
                <w:sz w:val="24"/>
                <w:szCs w:val="24"/>
              </w:rPr>
              <w:t>Public Engagement</w:t>
            </w:r>
          </w:p>
        </w:tc>
      </w:tr>
      <w:tr w:rsidR="00B85D16" w:rsidRPr="002D2F94" w14:paraId="0B8DA3E5" w14:textId="77777777" w:rsidTr="00895C9B">
        <w:trPr>
          <w:jc w:val="center"/>
        </w:trPr>
        <w:tc>
          <w:tcPr>
            <w:tcW w:w="1795" w:type="dxa"/>
            <w:vAlign w:val="center"/>
          </w:tcPr>
          <w:p w14:paraId="60AC26AC" w14:textId="77777777" w:rsidR="00B85D16" w:rsidRPr="002D2F94" w:rsidRDefault="00B85D16" w:rsidP="00895C9B">
            <w:pPr>
              <w:jc w:val="center"/>
              <w:rPr>
                <w:sz w:val="24"/>
                <w:szCs w:val="24"/>
              </w:rPr>
            </w:pPr>
            <w:r w:rsidRPr="002D2F94">
              <w:rPr>
                <w:sz w:val="24"/>
                <w:szCs w:val="24"/>
              </w:rPr>
              <w:t>July</w:t>
            </w:r>
          </w:p>
        </w:tc>
        <w:tc>
          <w:tcPr>
            <w:tcW w:w="3777" w:type="dxa"/>
            <w:vAlign w:val="center"/>
          </w:tcPr>
          <w:p w14:paraId="475475F7" w14:textId="77777777" w:rsidR="00B85D16" w:rsidRPr="002D2F94" w:rsidRDefault="00B85D16" w:rsidP="00895C9B">
            <w:pPr>
              <w:jc w:val="center"/>
              <w:rPr>
                <w:sz w:val="24"/>
                <w:szCs w:val="24"/>
              </w:rPr>
            </w:pPr>
            <w:r w:rsidRPr="002D2F94">
              <w:rPr>
                <w:sz w:val="24"/>
                <w:szCs w:val="24"/>
              </w:rPr>
              <w:t>Execute contract</w:t>
            </w:r>
          </w:p>
        </w:tc>
        <w:tc>
          <w:tcPr>
            <w:tcW w:w="3778" w:type="dxa"/>
            <w:vAlign w:val="center"/>
          </w:tcPr>
          <w:p w14:paraId="0E3E6AA3" w14:textId="77777777" w:rsidR="00B85D16" w:rsidRPr="002D2F94" w:rsidRDefault="00B85D16" w:rsidP="00895C9B">
            <w:pPr>
              <w:jc w:val="center"/>
              <w:rPr>
                <w:sz w:val="24"/>
                <w:szCs w:val="24"/>
              </w:rPr>
            </w:pPr>
          </w:p>
        </w:tc>
      </w:tr>
      <w:tr w:rsidR="00B85D16" w:rsidRPr="002D2F94" w14:paraId="1EA7BD60" w14:textId="77777777" w:rsidTr="00895C9B">
        <w:trPr>
          <w:jc w:val="center"/>
        </w:trPr>
        <w:tc>
          <w:tcPr>
            <w:tcW w:w="1795" w:type="dxa"/>
            <w:vAlign w:val="center"/>
          </w:tcPr>
          <w:p w14:paraId="53D52FE7" w14:textId="77777777" w:rsidR="00B85D16" w:rsidRPr="002D2F94" w:rsidRDefault="00B85D16" w:rsidP="00895C9B">
            <w:pPr>
              <w:jc w:val="center"/>
              <w:rPr>
                <w:sz w:val="24"/>
                <w:szCs w:val="24"/>
              </w:rPr>
            </w:pPr>
            <w:r w:rsidRPr="002D2F94">
              <w:rPr>
                <w:sz w:val="24"/>
                <w:szCs w:val="24"/>
              </w:rPr>
              <w:t>July-September</w:t>
            </w:r>
          </w:p>
        </w:tc>
        <w:tc>
          <w:tcPr>
            <w:tcW w:w="3777" w:type="dxa"/>
            <w:vAlign w:val="center"/>
          </w:tcPr>
          <w:p w14:paraId="349B9519" w14:textId="77777777" w:rsidR="00B85D16" w:rsidRPr="002D2F94" w:rsidRDefault="00B85D16" w:rsidP="00895C9B">
            <w:pPr>
              <w:jc w:val="center"/>
              <w:rPr>
                <w:sz w:val="24"/>
                <w:szCs w:val="24"/>
              </w:rPr>
            </w:pPr>
            <w:r w:rsidRPr="002D2F94">
              <w:rPr>
                <w:sz w:val="24"/>
                <w:szCs w:val="24"/>
              </w:rPr>
              <w:t>Conduct study</w:t>
            </w:r>
          </w:p>
        </w:tc>
        <w:tc>
          <w:tcPr>
            <w:tcW w:w="3778" w:type="dxa"/>
            <w:vAlign w:val="center"/>
          </w:tcPr>
          <w:p w14:paraId="4FB3B44D" w14:textId="77777777" w:rsidR="00B85D16" w:rsidRPr="002D2F94" w:rsidRDefault="00B85D16" w:rsidP="00895C9B">
            <w:pPr>
              <w:jc w:val="center"/>
              <w:rPr>
                <w:sz w:val="24"/>
                <w:szCs w:val="24"/>
              </w:rPr>
            </w:pPr>
            <w:r w:rsidRPr="002D2F94">
              <w:rPr>
                <w:sz w:val="24"/>
                <w:szCs w:val="24"/>
              </w:rPr>
              <w:t>Remote presentations at Committee meetings 7/19</w:t>
            </w:r>
            <w:r>
              <w:rPr>
                <w:sz w:val="24"/>
                <w:szCs w:val="24"/>
              </w:rPr>
              <w:t>, 8/16,</w:t>
            </w:r>
            <w:r w:rsidRPr="002D2F94">
              <w:rPr>
                <w:sz w:val="24"/>
                <w:szCs w:val="24"/>
              </w:rPr>
              <w:t xml:space="preserve"> and 9/20</w:t>
            </w:r>
          </w:p>
          <w:p w14:paraId="3C18CE1B" w14:textId="77777777" w:rsidR="00B85D16" w:rsidRPr="002D2F94" w:rsidRDefault="00B85D16" w:rsidP="00895C9B">
            <w:pPr>
              <w:jc w:val="center"/>
              <w:rPr>
                <w:sz w:val="24"/>
                <w:szCs w:val="24"/>
              </w:rPr>
            </w:pPr>
          </w:p>
        </w:tc>
      </w:tr>
      <w:tr w:rsidR="00B85D16" w:rsidRPr="002D2F94" w14:paraId="13F7A4B6" w14:textId="77777777" w:rsidTr="00895C9B">
        <w:trPr>
          <w:jc w:val="center"/>
        </w:trPr>
        <w:tc>
          <w:tcPr>
            <w:tcW w:w="1795" w:type="dxa"/>
            <w:vAlign w:val="center"/>
          </w:tcPr>
          <w:p w14:paraId="2418BE01" w14:textId="77777777" w:rsidR="00B85D16" w:rsidRPr="002D2F94" w:rsidRDefault="00B85D16" w:rsidP="00895C9B">
            <w:pPr>
              <w:jc w:val="center"/>
              <w:rPr>
                <w:sz w:val="24"/>
                <w:szCs w:val="24"/>
              </w:rPr>
            </w:pPr>
            <w:r w:rsidRPr="002D2F94">
              <w:rPr>
                <w:sz w:val="24"/>
                <w:szCs w:val="24"/>
              </w:rPr>
              <w:t>October</w:t>
            </w:r>
          </w:p>
        </w:tc>
        <w:tc>
          <w:tcPr>
            <w:tcW w:w="3777" w:type="dxa"/>
            <w:vAlign w:val="center"/>
          </w:tcPr>
          <w:p w14:paraId="643DF3B1" w14:textId="77777777" w:rsidR="00B85D16" w:rsidRPr="002D2F94" w:rsidRDefault="00B85D16" w:rsidP="00895C9B">
            <w:pPr>
              <w:jc w:val="center"/>
              <w:rPr>
                <w:sz w:val="24"/>
                <w:szCs w:val="24"/>
              </w:rPr>
            </w:pPr>
            <w:r w:rsidRPr="002D2F94">
              <w:rPr>
                <w:sz w:val="24"/>
                <w:szCs w:val="24"/>
              </w:rPr>
              <w:t xml:space="preserve">Draft </w:t>
            </w:r>
            <w:r>
              <w:rPr>
                <w:sz w:val="24"/>
                <w:szCs w:val="24"/>
              </w:rPr>
              <w:t>findings</w:t>
            </w:r>
          </w:p>
        </w:tc>
        <w:tc>
          <w:tcPr>
            <w:tcW w:w="3778" w:type="dxa"/>
            <w:vAlign w:val="center"/>
          </w:tcPr>
          <w:p w14:paraId="37BACA82" w14:textId="77777777" w:rsidR="00B85D16" w:rsidRPr="002D2F94" w:rsidRDefault="00B85D16" w:rsidP="00895C9B">
            <w:pPr>
              <w:jc w:val="center"/>
              <w:rPr>
                <w:sz w:val="24"/>
                <w:szCs w:val="24"/>
              </w:rPr>
            </w:pPr>
            <w:r w:rsidRPr="002D2F94">
              <w:rPr>
                <w:sz w:val="24"/>
                <w:szCs w:val="24"/>
              </w:rPr>
              <w:t xml:space="preserve">Presentation, public </w:t>
            </w:r>
            <w:proofErr w:type="gramStart"/>
            <w:r w:rsidRPr="002D2F94">
              <w:rPr>
                <w:sz w:val="24"/>
                <w:szCs w:val="24"/>
              </w:rPr>
              <w:t>comment</w:t>
            </w:r>
            <w:proofErr w:type="gramEnd"/>
            <w:r w:rsidRPr="002D2F94">
              <w:rPr>
                <w:sz w:val="24"/>
                <w:szCs w:val="24"/>
              </w:rPr>
              <w:t xml:space="preserve"> and review at Committee meeting on 10/18</w:t>
            </w:r>
          </w:p>
        </w:tc>
      </w:tr>
      <w:tr w:rsidR="00B85D16" w:rsidRPr="002D2F94" w14:paraId="42EA7D2C" w14:textId="77777777" w:rsidTr="00895C9B">
        <w:trPr>
          <w:jc w:val="center"/>
        </w:trPr>
        <w:tc>
          <w:tcPr>
            <w:tcW w:w="1795" w:type="dxa"/>
            <w:vAlign w:val="center"/>
          </w:tcPr>
          <w:p w14:paraId="1E769889" w14:textId="77777777" w:rsidR="00B85D16" w:rsidRPr="002D2F94" w:rsidRDefault="00B85D16" w:rsidP="00895C9B">
            <w:pPr>
              <w:jc w:val="center"/>
              <w:rPr>
                <w:sz w:val="24"/>
                <w:szCs w:val="24"/>
              </w:rPr>
            </w:pPr>
            <w:r w:rsidRPr="002D2F94">
              <w:rPr>
                <w:sz w:val="24"/>
                <w:szCs w:val="24"/>
              </w:rPr>
              <w:t>November</w:t>
            </w:r>
          </w:p>
        </w:tc>
        <w:tc>
          <w:tcPr>
            <w:tcW w:w="3777" w:type="dxa"/>
            <w:vAlign w:val="center"/>
          </w:tcPr>
          <w:p w14:paraId="46C67F02" w14:textId="77777777" w:rsidR="00B85D16" w:rsidRPr="002D2F94" w:rsidRDefault="00B85D16" w:rsidP="00895C9B">
            <w:pPr>
              <w:jc w:val="center"/>
              <w:rPr>
                <w:sz w:val="24"/>
                <w:szCs w:val="24"/>
              </w:rPr>
            </w:pPr>
            <w:r w:rsidRPr="002D2F94">
              <w:rPr>
                <w:sz w:val="24"/>
                <w:szCs w:val="24"/>
              </w:rPr>
              <w:t>Vote to adopt final report</w:t>
            </w:r>
          </w:p>
        </w:tc>
        <w:tc>
          <w:tcPr>
            <w:tcW w:w="3778" w:type="dxa"/>
            <w:vAlign w:val="center"/>
          </w:tcPr>
          <w:p w14:paraId="48035541" w14:textId="77777777" w:rsidR="00B85D16" w:rsidRPr="002D2F94" w:rsidRDefault="00B85D16" w:rsidP="00895C9B">
            <w:pPr>
              <w:jc w:val="center"/>
              <w:rPr>
                <w:sz w:val="24"/>
                <w:szCs w:val="24"/>
              </w:rPr>
            </w:pPr>
            <w:r w:rsidRPr="002D2F94">
              <w:rPr>
                <w:sz w:val="24"/>
                <w:szCs w:val="24"/>
              </w:rPr>
              <w:t>Public comment at Committee meeting on 11/15</w:t>
            </w:r>
          </w:p>
        </w:tc>
      </w:tr>
      <w:tr w:rsidR="00B85D16" w:rsidRPr="002D2F94" w14:paraId="624C51A5" w14:textId="77777777" w:rsidTr="00895C9B">
        <w:trPr>
          <w:jc w:val="center"/>
        </w:trPr>
        <w:tc>
          <w:tcPr>
            <w:tcW w:w="1795" w:type="dxa"/>
            <w:vAlign w:val="center"/>
          </w:tcPr>
          <w:p w14:paraId="38D0E3AA" w14:textId="77777777" w:rsidR="00B85D16" w:rsidRPr="002D2F94" w:rsidRDefault="00B85D16" w:rsidP="00895C9B">
            <w:pPr>
              <w:jc w:val="center"/>
              <w:rPr>
                <w:sz w:val="24"/>
                <w:szCs w:val="24"/>
              </w:rPr>
            </w:pPr>
            <w:r>
              <w:rPr>
                <w:sz w:val="24"/>
                <w:szCs w:val="24"/>
              </w:rPr>
              <w:t>December-June</w:t>
            </w:r>
          </w:p>
        </w:tc>
        <w:tc>
          <w:tcPr>
            <w:tcW w:w="3777" w:type="dxa"/>
            <w:vAlign w:val="center"/>
          </w:tcPr>
          <w:p w14:paraId="40BAD310" w14:textId="77777777" w:rsidR="00B85D16" w:rsidRPr="002D2F94" w:rsidRDefault="00B85D16" w:rsidP="00895C9B">
            <w:pPr>
              <w:jc w:val="center"/>
              <w:rPr>
                <w:sz w:val="24"/>
                <w:szCs w:val="24"/>
              </w:rPr>
            </w:pPr>
            <w:r>
              <w:rPr>
                <w:sz w:val="24"/>
                <w:szCs w:val="24"/>
              </w:rPr>
              <w:t>Additional presentations as needed</w:t>
            </w:r>
          </w:p>
        </w:tc>
        <w:tc>
          <w:tcPr>
            <w:tcW w:w="3778" w:type="dxa"/>
            <w:vAlign w:val="center"/>
          </w:tcPr>
          <w:p w14:paraId="5A3FF2A4" w14:textId="77777777" w:rsidR="00B85D16" w:rsidRPr="002D2F94" w:rsidRDefault="00B85D16" w:rsidP="00895C9B">
            <w:pPr>
              <w:jc w:val="center"/>
              <w:rPr>
                <w:sz w:val="24"/>
                <w:szCs w:val="24"/>
              </w:rPr>
            </w:pPr>
            <w:r>
              <w:rPr>
                <w:sz w:val="24"/>
                <w:szCs w:val="24"/>
              </w:rPr>
              <w:t>Presentations to be determined</w:t>
            </w:r>
          </w:p>
        </w:tc>
      </w:tr>
    </w:tbl>
    <w:p w14:paraId="24E51F81" w14:textId="77777777" w:rsidR="00B85D16" w:rsidRPr="002D2F94" w:rsidRDefault="00B85D16" w:rsidP="00B85D16">
      <w:pPr>
        <w:rPr>
          <w:sz w:val="24"/>
          <w:szCs w:val="24"/>
        </w:rPr>
      </w:pPr>
    </w:p>
    <w:p w14:paraId="04F6554F" w14:textId="3DF1C87E" w:rsidR="00B85D16" w:rsidRDefault="00B85D16" w:rsidP="00B85D16">
      <w:pPr>
        <w:rPr>
          <w:sz w:val="24"/>
          <w:szCs w:val="24"/>
        </w:rPr>
      </w:pPr>
      <w:r w:rsidRPr="002D2F94">
        <w:rPr>
          <w:sz w:val="24"/>
          <w:szCs w:val="24"/>
        </w:rPr>
        <w:t xml:space="preserve">In addition to the bidder’s stakeholder engagement plan, bidders shall be prepared to present remotely at up to </w:t>
      </w:r>
      <w:r>
        <w:rPr>
          <w:sz w:val="24"/>
          <w:szCs w:val="24"/>
        </w:rPr>
        <w:t>five</w:t>
      </w:r>
      <w:r w:rsidRPr="002D2F94">
        <w:rPr>
          <w:sz w:val="24"/>
          <w:szCs w:val="24"/>
        </w:rPr>
        <w:t xml:space="preserve"> Committee meetings. The selected bidder may also be asked to present at up to three additional events during November 2022 through June 2023. These additional presentations should be assumed to be remote.</w:t>
      </w:r>
    </w:p>
    <w:p w14:paraId="7FA56495" w14:textId="77777777" w:rsidR="00B85D16" w:rsidRPr="002D2F94" w:rsidRDefault="00B85D16" w:rsidP="00B85D16">
      <w:pPr>
        <w:rPr>
          <w:sz w:val="24"/>
          <w:szCs w:val="24"/>
        </w:rPr>
      </w:pPr>
    </w:p>
    <w:p w14:paraId="79336913" w14:textId="77777777" w:rsidR="00B85D16" w:rsidRPr="002D2F94" w:rsidRDefault="00B85D16" w:rsidP="00B85D16">
      <w:pPr>
        <w:rPr>
          <w:sz w:val="24"/>
          <w:szCs w:val="24"/>
        </w:rPr>
      </w:pPr>
      <w:r w:rsidRPr="002D2F94">
        <w:rPr>
          <w:sz w:val="24"/>
          <w:szCs w:val="24"/>
        </w:rPr>
        <w:t>In addition to the deliverables identified in Tasks 1-6, the selected bidder shall provide (</w:t>
      </w:r>
      <w:proofErr w:type="spellStart"/>
      <w:r w:rsidRPr="002D2F94">
        <w:rPr>
          <w:sz w:val="24"/>
          <w:szCs w:val="24"/>
        </w:rPr>
        <w:t>i</w:t>
      </w:r>
      <w:proofErr w:type="spellEnd"/>
      <w:r w:rsidRPr="002D2F94">
        <w:rPr>
          <w:sz w:val="24"/>
          <w:szCs w:val="24"/>
        </w:rPr>
        <w:t>) a revised consensus workplan based on input from the Project Management Team, (ii) a draft report, (iii) a final report, (iv) a PowerPoint file with slides that summarize the final report.</w:t>
      </w: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 w14:paraId="0D72A989" w14:textId="70CE992A"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9" w:name="_Toc443482867"/>
      <w:bookmarkStart w:id="10" w:name="_Toc443482887"/>
      <w:bookmarkStart w:id="11" w:name="_Toc511304824"/>
      <w:bookmarkStart w:id="12" w:name="_Toc522613431"/>
      <w:r w:rsidRPr="00837B74">
        <w:rPr>
          <w:b/>
          <w:spacing w:val="14"/>
          <w:sz w:val="24"/>
          <w:szCs w:val="24"/>
        </w:rPr>
        <w:t xml:space="preserve">SECTION </w:t>
      </w:r>
      <w:r w:rsidR="00EC12E5">
        <w:rPr>
          <w:b/>
          <w:spacing w:val="14"/>
          <w:sz w:val="24"/>
          <w:szCs w:val="24"/>
        </w:rPr>
        <w:t>C</w:t>
      </w:r>
      <w:r w:rsidRPr="00837B74">
        <w:rPr>
          <w:b/>
          <w:spacing w:val="14"/>
          <w:sz w:val="24"/>
          <w:szCs w:val="24"/>
        </w:rPr>
        <w:t>: PROPOSAL</w:t>
      </w:r>
      <w:bookmarkEnd w:id="9"/>
      <w:bookmarkEnd w:id="10"/>
      <w:bookmarkEnd w:id="11"/>
      <w:bookmarkEnd w:id="12"/>
    </w:p>
    <w:p w14:paraId="72E8417E" w14:textId="77777777" w:rsidR="009C24F9" w:rsidRDefault="009C24F9" w:rsidP="009C24F9">
      <w:pPr>
        <w:rPr>
          <w:b/>
          <w:color w:val="0070C0"/>
          <w:spacing w:val="14"/>
          <w:sz w:val="24"/>
          <w:szCs w:val="24"/>
        </w:rPr>
      </w:pPr>
      <w:bookmarkStart w:id="13" w:name="_Toc511304825"/>
    </w:p>
    <w:p w14:paraId="05C936A0" w14:textId="7162B5E0" w:rsidR="002715EE" w:rsidRPr="00837B74" w:rsidRDefault="00EC12E5" w:rsidP="009C24F9">
      <w:pPr>
        <w:pStyle w:val="Heading2"/>
        <w:rPr>
          <w:rFonts w:ascii="Times New Roman" w:hAnsi="Times New Roman" w:cs="Times New Roman"/>
          <w:b/>
          <w:color w:val="0070C0"/>
          <w:spacing w:val="14"/>
          <w:sz w:val="24"/>
          <w:szCs w:val="24"/>
        </w:rPr>
      </w:pPr>
      <w:bookmarkStart w:id="14" w:name="_Toc522613432"/>
      <w:r>
        <w:rPr>
          <w:rFonts w:ascii="Times New Roman" w:eastAsia="Times New Roman" w:hAnsi="Times New Roman" w:cs="Times New Roman"/>
          <w:b/>
          <w:color w:val="0070C0"/>
          <w:spacing w:val="14"/>
          <w:sz w:val="24"/>
          <w:szCs w:val="24"/>
        </w:rPr>
        <w:t>1.</w:t>
      </w:r>
      <w:r w:rsidR="002715EE" w:rsidRPr="00837B74">
        <w:rPr>
          <w:rFonts w:ascii="Times New Roman" w:hAnsi="Times New Roman" w:cs="Times New Roman"/>
          <w:b/>
          <w:color w:val="0070C0"/>
          <w:spacing w:val="14"/>
          <w:sz w:val="24"/>
          <w:szCs w:val="24"/>
        </w:rPr>
        <w:t xml:space="preserve"> Technical</w:t>
      </w:r>
      <w:permStart w:id="1098864790" w:edGrp="everyone"/>
      <w:r w:rsidR="002715EE" w:rsidRPr="00837B74">
        <w:rPr>
          <w:rFonts w:ascii="Times New Roman" w:hAnsi="Times New Roman" w:cs="Times New Roman"/>
          <w:b/>
          <w:color w:val="0070C0"/>
          <w:spacing w:val="14"/>
          <w:sz w:val="24"/>
          <w:szCs w:val="24"/>
        </w:rPr>
        <w:t xml:space="preserve"> Proposal</w:t>
      </w:r>
      <w:bookmarkEnd w:id="13"/>
      <w:bookmarkEnd w:id="14"/>
      <w:permEnd w:id="1098864790"/>
    </w:p>
    <w:p w14:paraId="34EC3595" w14:textId="4B3459E3" w:rsidR="00454BAE" w:rsidRPr="00837B74" w:rsidRDefault="00454BAE" w:rsidP="00454BAE">
      <w:pPr>
        <w:jc w:val="both"/>
        <w:rPr>
          <w:spacing w:val="14"/>
          <w:sz w:val="24"/>
          <w:szCs w:val="24"/>
        </w:rPr>
      </w:pPr>
      <w:r w:rsidRPr="00837B74">
        <w:rPr>
          <w:spacing w:val="14"/>
          <w:sz w:val="24"/>
          <w:szCs w:val="24"/>
        </w:rPr>
        <w:t xml:space="preserve">Narrative and format:  </w:t>
      </w:r>
      <w:r w:rsidR="00256A61">
        <w:rPr>
          <w:spacing w:val="14"/>
          <w:sz w:val="24"/>
          <w:szCs w:val="24"/>
        </w:rPr>
        <w:t>V</w:t>
      </w:r>
      <w:r w:rsidR="005F501F">
        <w:rPr>
          <w:spacing w:val="14"/>
          <w:sz w:val="24"/>
          <w:szCs w:val="24"/>
        </w:rPr>
        <w:t>endors must submit a technical</w:t>
      </w:r>
      <w:r w:rsidRPr="00837B74">
        <w:rPr>
          <w:spacing w:val="14"/>
          <w:sz w:val="24"/>
          <w:szCs w:val="24"/>
        </w:rPr>
        <w:t xml:space="preserve"> proposal </w:t>
      </w:r>
      <w:r w:rsidR="005F501F">
        <w:rPr>
          <w:spacing w:val="14"/>
          <w:sz w:val="24"/>
          <w:szCs w:val="24"/>
        </w:rPr>
        <w:t>which</w:t>
      </w:r>
      <w:r w:rsidR="00692013">
        <w:rPr>
          <w:spacing w:val="14"/>
          <w:sz w:val="24"/>
          <w:szCs w:val="24"/>
        </w:rPr>
        <w:t xml:space="preserve"> </w:t>
      </w:r>
      <w:r w:rsidRPr="00837B74">
        <w:rPr>
          <w:spacing w:val="14"/>
          <w:sz w:val="24"/>
          <w:szCs w:val="24"/>
        </w:rPr>
        <w:t>address</w:t>
      </w:r>
      <w:r w:rsidR="005F501F">
        <w:rPr>
          <w:spacing w:val="14"/>
          <w:sz w:val="24"/>
          <w:szCs w:val="24"/>
        </w:rPr>
        <w:t>es</w:t>
      </w:r>
      <w:r w:rsidRPr="00837B74">
        <w:rPr>
          <w:spacing w:val="14"/>
          <w:sz w:val="24"/>
          <w:szCs w:val="24"/>
        </w:rPr>
        <w:t xml:space="preserve"> each of the following</w:t>
      </w:r>
      <w:r w:rsidR="005F501F">
        <w:rPr>
          <w:spacing w:val="14"/>
          <w:sz w:val="24"/>
          <w:szCs w:val="24"/>
        </w:rPr>
        <w:t xml:space="preserve"> </w:t>
      </w:r>
      <w:r w:rsidRPr="00837B74">
        <w:rPr>
          <w:spacing w:val="14"/>
          <w:sz w:val="24"/>
          <w:szCs w:val="24"/>
        </w:rPr>
        <w:t>elements</w:t>
      </w:r>
      <w:r w:rsidR="008164B7" w:rsidRPr="008164B7">
        <w:rPr>
          <w:sz w:val="24"/>
          <w:szCs w:val="24"/>
        </w:rPr>
        <w:t xml:space="preserve"> </w:t>
      </w:r>
      <w:r w:rsidR="008164B7">
        <w:rPr>
          <w:sz w:val="24"/>
          <w:szCs w:val="24"/>
        </w:rPr>
        <w:t>and</w:t>
      </w:r>
      <w:r w:rsidR="008164B7" w:rsidRPr="00F908CF">
        <w:rPr>
          <w:sz w:val="24"/>
          <w:szCs w:val="24"/>
        </w:rPr>
        <w:t xml:space="preserve"> is limited to </w:t>
      </w:r>
      <w:permStart w:id="1367369800" w:edGrp="everyone"/>
      <w:commentRangeStart w:id="15"/>
      <w:r w:rsidR="008164B7" w:rsidRPr="00B459DD">
        <w:rPr>
          <w:sz w:val="24"/>
          <w:szCs w:val="24"/>
        </w:rPr>
        <w:t>six (6)</w:t>
      </w:r>
      <w:commentRangeEnd w:id="15"/>
      <w:r w:rsidR="00692013">
        <w:rPr>
          <w:rStyle w:val="CommentReference"/>
        </w:rPr>
        <w:commentReference w:id="15"/>
      </w:r>
      <w:r w:rsidR="008164B7" w:rsidRPr="00F908CF">
        <w:rPr>
          <w:sz w:val="24"/>
          <w:szCs w:val="24"/>
        </w:rPr>
        <w:t xml:space="preserve"> </w:t>
      </w:r>
      <w:permEnd w:id="1367369800"/>
      <w:r w:rsidR="008164B7" w:rsidRPr="00F908CF">
        <w:rPr>
          <w:sz w:val="24"/>
          <w:szCs w:val="24"/>
        </w:rPr>
        <w:t>pages (this excludes any appendices and as appropriate, resumes of key staff that will provide services covered by this request)</w:t>
      </w:r>
      <w:r w:rsidRPr="00837B74">
        <w:rPr>
          <w:spacing w:val="14"/>
          <w:sz w:val="24"/>
          <w:szCs w:val="24"/>
        </w:rPr>
        <w:t>:</w:t>
      </w:r>
    </w:p>
    <w:p w14:paraId="05BD1DD9" w14:textId="77777777" w:rsidR="00634118" w:rsidRPr="00837B74" w:rsidRDefault="00634118" w:rsidP="00276935">
      <w:pPr>
        <w:jc w:val="both"/>
        <w:rPr>
          <w:spacing w:val="14"/>
          <w:sz w:val="24"/>
          <w:szCs w:val="24"/>
        </w:rPr>
      </w:pPr>
    </w:p>
    <w:p w14:paraId="2775674A" w14:textId="77777777" w:rsidR="00EB755A" w:rsidRPr="002D2F94" w:rsidRDefault="00EB755A" w:rsidP="00EB755A">
      <w:pPr>
        <w:pStyle w:val="ListParagraph"/>
        <w:numPr>
          <w:ilvl w:val="0"/>
          <w:numId w:val="20"/>
        </w:numPr>
        <w:spacing w:after="160" w:line="259" w:lineRule="auto"/>
        <w:rPr>
          <w:sz w:val="24"/>
          <w:szCs w:val="24"/>
        </w:rPr>
      </w:pPr>
      <w:bookmarkStart w:id="16" w:name="_Toc511304826"/>
      <w:bookmarkStart w:id="17" w:name="_Toc522613433"/>
      <w:r w:rsidRPr="002D2F94">
        <w:rPr>
          <w:b/>
          <w:bCs/>
          <w:sz w:val="24"/>
          <w:szCs w:val="24"/>
        </w:rPr>
        <w:t>Staff Qualifications</w:t>
      </w:r>
      <w:r w:rsidRPr="002D2F94">
        <w:rPr>
          <w:sz w:val="24"/>
          <w:szCs w:val="24"/>
        </w:rPr>
        <w:t xml:space="preserve"> – Provide staff resumes/CV</w:t>
      </w:r>
      <w:r>
        <w:rPr>
          <w:sz w:val="24"/>
          <w:szCs w:val="24"/>
        </w:rPr>
        <w:t>s</w:t>
      </w:r>
      <w:r w:rsidRPr="002D2F94">
        <w:rPr>
          <w:sz w:val="24"/>
          <w:szCs w:val="24"/>
        </w:rPr>
        <w:t xml:space="preserve"> and describe qualifications and experience of key staff who will be involved in this project. For each staff member, identify any potential conflicts</w:t>
      </w:r>
      <w:r>
        <w:rPr>
          <w:sz w:val="24"/>
          <w:szCs w:val="24"/>
        </w:rPr>
        <w:t xml:space="preserve"> of interest</w:t>
      </w:r>
      <w:r w:rsidRPr="002D2F94">
        <w:rPr>
          <w:sz w:val="24"/>
          <w:szCs w:val="24"/>
        </w:rPr>
        <w:t xml:space="preserve"> related to the conduct of this work. </w:t>
      </w:r>
    </w:p>
    <w:p w14:paraId="5E0848EA" w14:textId="77777777" w:rsidR="00EB755A" w:rsidRPr="002D2F94" w:rsidRDefault="00EB755A" w:rsidP="00EB755A">
      <w:pPr>
        <w:pStyle w:val="ListParagraph"/>
        <w:rPr>
          <w:sz w:val="24"/>
          <w:szCs w:val="24"/>
        </w:rPr>
      </w:pPr>
    </w:p>
    <w:p w14:paraId="7EE21A56" w14:textId="77777777" w:rsidR="00EB755A" w:rsidRPr="002D2F94" w:rsidRDefault="00EB755A" w:rsidP="00EB755A">
      <w:pPr>
        <w:pStyle w:val="ListParagraph"/>
        <w:numPr>
          <w:ilvl w:val="0"/>
          <w:numId w:val="20"/>
        </w:numPr>
        <w:spacing w:after="160" w:line="259" w:lineRule="auto"/>
        <w:rPr>
          <w:sz w:val="24"/>
          <w:szCs w:val="24"/>
        </w:rPr>
      </w:pPr>
      <w:r w:rsidRPr="002D2F94">
        <w:rPr>
          <w:b/>
          <w:bCs/>
          <w:sz w:val="24"/>
          <w:szCs w:val="24"/>
        </w:rPr>
        <w:t>Capability, Capacity, and Qualifications of the Offeror</w:t>
      </w:r>
      <w:r w:rsidRPr="002D2F94">
        <w:rPr>
          <w:sz w:val="24"/>
          <w:szCs w:val="24"/>
        </w:rPr>
        <w:t xml:space="preserve"> - Please provide a detailed description of the consultant experience. Detail previous or on-going analysis similar in scope and explain how that experience may be leveraged to conduct and bring resource and/or cost efficiencies to this engagement. A list of </w:t>
      </w:r>
      <w:r>
        <w:rPr>
          <w:sz w:val="24"/>
          <w:szCs w:val="24"/>
        </w:rPr>
        <w:t xml:space="preserve">three </w:t>
      </w:r>
      <w:r w:rsidRPr="002D2F94">
        <w:rPr>
          <w:sz w:val="24"/>
          <w:szCs w:val="24"/>
        </w:rPr>
        <w:t xml:space="preserve">relevant client references must be provided, to include client names, addresses, phone numbers, dates of service and type(s) of service(s) provided. Client references may be contacted by OER. </w:t>
      </w:r>
    </w:p>
    <w:p w14:paraId="43195392" w14:textId="77777777" w:rsidR="00EB755A" w:rsidRPr="002D2F94" w:rsidRDefault="00EB755A" w:rsidP="00EB755A">
      <w:pPr>
        <w:pStyle w:val="ListParagraph"/>
        <w:rPr>
          <w:sz w:val="24"/>
          <w:szCs w:val="24"/>
        </w:rPr>
      </w:pPr>
    </w:p>
    <w:p w14:paraId="3DA7EB78" w14:textId="4BBBEE4F" w:rsidR="00EB755A" w:rsidRDefault="00EB755A" w:rsidP="00EB755A">
      <w:pPr>
        <w:pStyle w:val="ListParagraph"/>
        <w:numPr>
          <w:ilvl w:val="0"/>
          <w:numId w:val="20"/>
        </w:numPr>
        <w:spacing w:after="160" w:line="259" w:lineRule="auto"/>
        <w:rPr>
          <w:b/>
          <w:bCs/>
          <w:sz w:val="24"/>
          <w:szCs w:val="24"/>
        </w:rPr>
      </w:pPr>
      <w:r w:rsidRPr="002D2F94">
        <w:rPr>
          <w:b/>
          <w:bCs/>
          <w:sz w:val="24"/>
          <w:szCs w:val="24"/>
        </w:rPr>
        <w:t>Work Plan</w:t>
      </w:r>
      <w:r w:rsidRPr="002D2F94">
        <w:rPr>
          <w:sz w:val="24"/>
          <w:szCs w:val="24"/>
        </w:rPr>
        <w:t xml:space="preserve"> - Please describe, in detail, the </w:t>
      </w:r>
      <w:r>
        <w:rPr>
          <w:sz w:val="24"/>
          <w:szCs w:val="24"/>
        </w:rPr>
        <w:t>approach</w:t>
      </w:r>
      <w:r w:rsidRPr="002D2F94">
        <w:rPr>
          <w:sz w:val="24"/>
          <w:szCs w:val="24"/>
        </w:rPr>
        <w:t xml:space="preserve"> and timeline to complete </w:t>
      </w:r>
      <w:r>
        <w:rPr>
          <w:sz w:val="24"/>
          <w:szCs w:val="24"/>
        </w:rPr>
        <w:t xml:space="preserve">each task within </w:t>
      </w:r>
      <w:r w:rsidRPr="002D2F94">
        <w:rPr>
          <w:sz w:val="24"/>
          <w:szCs w:val="24"/>
        </w:rPr>
        <w:t xml:space="preserve">the Scope of Work. </w:t>
      </w:r>
      <w:r>
        <w:rPr>
          <w:sz w:val="24"/>
          <w:szCs w:val="24"/>
        </w:rPr>
        <w:t xml:space="preserve">Where relevant, please describe any proposed analysis or estimation methodologies, data collection, data quality control, stakeholder engagement, and any other technical detail that may be of interest. </w:t>
      </w:r>
      <w:r w:rsidRPr="002D2F94">
        <w:rPr>
          <w:sz w:val="24"/>
          <w:szCs w:val="24"/>
        </w:rPr>
        <w:t xml:space="preserve">Please </w:t>
      </w:r>
      <w:r>
        <w:rPr>
          <w:sz w:val="24"/>
          <w:szCs w:val="24"/>
        </w:rPr>
        <w:t xml:space="preserve">also </w:t>
      </w:r>
      <w:r w:rsidRPr="002D2F94">
        <w:rPr>
          <w:sz w:val="24"/>
          <w:szCs w:val="24"/>
        </w:rPr>
        <w:t>include specific reference to how the bidder intends to communicate with the State Project Team throughout the project.</w:t>
      </w:r>
      <w:r w:rsidRPr="002D2F94">
        <w:rPr>
          <w:b/>
          <w:bCs/>
          <w:sz w:val="24"/>
          <w:szCs w:val="24"/>
        </w:rPr>
        <w:t xml:space="preserve"> </w:t>
      </w:r>
    </w:p>
    <w:p w14:paraId="03B2335B" w14:textId="77777777" w:rsidR="00EB755A" w:rsidRPr="00421D2B" w:rsidRDefault="00EB755A" w:rsidP="00EB755A">
      <w:pPr>
        <w:pStyle w:val="ListParagraph"/>
        <w:spacing w:after="160" w:line="259" w:lineRule="auto"/>
        <w:rPr>
          <w:b/>
          <w:bCs/>
          <w:sz w:val="24"/>
          <w:szCs w:val="24"/>
        </w:rPr>
      </w:pPr>
    </w:p>
    <w:p w14:paraId="24DD64F9" w14:textId="56CCEB4B" w:rsidR="00454BAE" w:rsidRPr="00837B74" w:rsidRDefault="00EC12E5" w:rsidP="00454BAE">
      <w:pPr>
        <w:pStyle w:val="ListParagraph"/>
        <w:ind w:left="0"/>
        <w:jc w:val="both"/>
        <w:outlineLvl w:val="1"/>
        <w:rPr>
          <w:b/>
          <w:color w:val="0070C0"/>
          <w:spacing w:val="14"/>
          <w:sz w:val="24"/>
          <w:szCs w:val="24"/>
        </w:rPr>
      </w:pPr>
      <w:r>
        <w:rPr>
          <w:b/>
          <w:color w:val="0070C0"/>
          <w:spacing w:val="14"/>
          <w:sz w:val="24"/>
          <w:szCs w:val="24"/>
        </w:rPr>
        <w:t>2</w:t>
      </w:r>
      <w:r w:rsidR="00454BAE" w:rsidRPr="00837B74">
        <w:rPr>
          <w:b/>
          <w:color w:val="0070C0"/>
          <w:spacing w:val="14"/>
          <w:sz w:val="24"/>
          <w:szCs w:val="24"/>
        </w:rPr>
        <w:t>. Cost Proposal</w:t>
      </w:r>
      <w:bookmarkEnd w:id="16"/>
      <w:bookmarkEnd w:id="17"/>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873233887" w:edGrp="everyone"/>
      <w:commentRangeStart w:id="18"/>
      <w:r w:rsidRPr="00F908CF">
        <w:rPr>
          <w:spacing w:val="14"/>
        </w:rPr>
        <w:t xml:space="preserve">Detailed Budget and Budget Narrative:  </w:t>
      </w:r>
      <w:commentRangeEnd w:id="18"/>
      <w:r w:rsidR="005853A8" w:rsidRPr="00F908CF">
        <w:rPr>
          <w:rStyle w:val="CommentReference"/>
          <w:sz w:val="24"/>
          <w:szCs w:val="24"/>
        </w:rPr>
        <w:commentReference w:id="18"/>
      </w:r>
    </w:p>
    <w:p w14:paraId="623D87A5" w14:textId="681336C3" w:rsidR="00867A47" w:rsidRPr="00867A47" w:rsidRDefault="00634118" w:rsidP="00867A47">
      <w:pPr>
        <w:pStyle w:val="NormalWeb"/>
        <w:tabs>
          <w:tab w:val="left" w:pos="360"/>
          <w:tab w:val="left" w:pos="720"/>
        </w:tabs>
        <w:spacing w:before="100" w:beforeAutospacing="1"/>
        <w:jc w:val="both"/>
        <w:rPr>
          <w:spacing w:val="14"/>
        </w:rPr>
      </w:pPr>
      <w:r w:rsidRPr="00B459DD">
        <w:rPr>
          <w:spacing w:val="14"/>
        </w:rPr>
        <w:t xml:space="preserve">Provide a </w:t>
      </w:r>
      <w:r w:rsidR="005853A8" w:rsidRPr="00B459DD">
        <w:rPr>
          <w:spacing w:val="14"/>
        </w:rPr>
        <w:t xml:space="preserve">cost proposal </w:t>
      </w:r>
      <w:r w:rsidR="00136DCD">
        <w:rPr>
          <w:spacing w:val="14"/>
        </w:rPr>
        <w:t>for the required services which</w:t>
      </w:r>
      <w:r w:rsidR="005853A8" w:rsidRPr="00B459DD">
        <w:rPr>
          <w:spacing w:val="14"/>
        </w:rPr>
        <w:t xml:space="preserve"> include</w:t>
      </w:r>
      <w:r w:rsidR="00136DCD">
        <w:rPr>
          <w:spacing w:val="14"/>
        </w:rPr>
        <w:t>s</w:t>
      </w:r>
      <w:r w:rsidR="005853A8" w:rsidRPr="00B459DD">
        <w:rPr>
          <w:spacing w:val="14"/>
        </w:rPr>
        <w:t xml:space="preserve"> the following</w:t>
      </w:r>
      <w:r w:rsidR="00136DCD">
        <w:rPr>
          <w:spacing w:val="14"/>
        </w:rPr>
        <w:t xml:space="preserve"> information: </w:t>
      </w:r>
      <w:r w:rsidR="00867A47" w:rsidRPr="00867A47">
        <w:rPr>
          <w:spacing w:val="14"/>
        </w:rPr>
        <w:t>Please provide a total “not to exceed” budget for this engagement. The Consultant is expected to maintain a clear, up-to-date log of all hours worked and how those hours were spent broken down by task.</w:t>
      </w:r>
    </w:p>
    <w:p w14:paraId="17A12F85" w14:textId="77777777" w:rsidR="00867A47" w:rsidRDefault="00867A47" w:rsidP="00867A47">
      <w:pPr>
        <w:pStyle w:val="NormalWeb"/>
        <w:tabs>
          <w:tab w:val="left" w:pos="360"/>
          <w:tab w:val="left" w:pos="720"/>
        </w:tabs>
        <w:spacing w:before="100" w:beforeAutospacing="1"/>
        <w:jc w:val="both"/>
        <w:rPr>
          <w:spacing w:val="14"/>
        </w:rPr>
      </w:pPr>
      <w:r w:rsidRPr="00867A47">
        <w:rPr>
          <w:spacing w:val="14"/>
        </w:rPr>
        <w:t>The Consultant is expected to provide monthly invoices to OER detailing all hours worked by each staff member (by task), their hourly billing rate, and total costs associated with each staff member. Each bill should summarize total billable time and cost across all relevant staff. Specifically, these invoices should be delivered to OER no later than the fifth business day of the month following the month for which work is being reported and billed.</w:t>
      </w:r>
      <w:bookmarkStart w:id="19" w:name="_Toc511304827"/>
      <w:bookmarkStart w:id="20" w:name="_Toc522613434"/>
    </w:p>
    <w:permEnd w:id="873233887"/>
    <w:p w14:paraId="00A8FEA4" w14:textId="4ACC3885" w:rsidR="00454BAE" w:rsidRPr="00837B74" w:rsidRDefault="00EC12E5" w:rsidP="00867A47">
      <w:pPr>
        <w:pStyle w:val="NormalWeb"/>
        <w:tabs>
          <w:tab w:val="left" w:pos="360"/>
          <w:tab w:val="left" w:pos="720"/>
        </w:tabs>
        <w:spacing w:before="100" w:beforeAutospacing="1"/>
        <w:jc w:val="both"/>
        <w:rPr>
          <w:b/>
          <w:color w:val="0070C0"/>
          <w:spacing w:val="14"/>
        </w:rPr>
      </w:pPr>
      <w:r>
        <w:rPr>
          <w:b/>
          <w:color w:val="0070C0"/>
          <w:spacing w:val="14"/>
        </w:rPr>
        <w:t>3</w:t>
      </w:r>
      <w:r w:rsidR="00454BAE" w:rsidRPr="00837B74">
        <w:rPr>
          <w:b/>
          <w:color w:val="0070C0"/>
          <w:spacing w:val="14"/>
        </w:rPr>
        <w:t>. ISBE Proposal</w:t>
      </w:r>
      <w:bookmarkEnd w:id="19"/>
      <w:bookmarkEnd w:id="20"/>
    </w:p>
    <w:p w14:paraId="33E9B053" w14:textId="77777777" w:rsidR="00454BAE" w:rsidRPr="00837B74" w:rsidRDefault="00454BAE" w:rsidP="00454BAE"/>
    <w:p w14:paraId="3779A694" w14:textId="5C207FBD" w:rsidR="00454BAE" w:rsidRPr="00837B74" w:rsidRDefault="00454BAE" w:rsidP="00454BAE">
      <w:pPr>
        <w:pStyle w:val="ListParagraph"/>
        <w:ind w:left="0"/>
        <w:jc w:val="both"/>
        <w:rPr>
          <w:sz w:val="24"/>
          <w:szCs w:val="24"/>
        </w:rPr>
      </w:pPr>
      <w:r w:rsidRPr="00837B74">
        <w:rPr>
          <w:sz w:val="24"/>
          <w:szCs w:val="24"/>
        </w:rPr>
        <w:t xml:space="preserve">See Appendix A </w:t>
      </w:r>
      <w:r w:rsidR="00760AD8" w:rsidRPr="00645A66">
        <w:rPr>
          <w:sz w:val="24"/>
          <w:szCs w:val="24"/>
        </w:rPr>
        <w:t>on the “</w:t>
      </w:r>
      <w:r w:rsidR="000134D0" w:rsidRPr="00645A66">
        <w:rPr>
          <w:sz w:val="24"/>
          <w:szCs w:val="24"/>
        </w:rPr>
        <w:t>Overview</w:t>
      </w:r>
      <w:r w:rsidR="00760AD8" w:rsidRPr="00645A66">
        <w:rPr>
          <w:sz w:val="24"/>
          <w:szCs w:val="24"/>
        </w:rPr>
        <w:t xml:space="preserve">” tab in Ocean State Procures™ </w:t>
      </w:r>
      <w:r w:rsidRPr="00645A66">
        <w:rPr>
          <w:sz w:val="24"/>
          <w:szCs w:val="24"/>
        </w:rPr>
        <w:t xml:space="preserve">for </w:t>
      </w:r>
      <w:r w:rsidR="00D3560A" w:rsidRPr="00645A66">
        <w:rPr>
          <w:sz w:val="24"/>
          <w:szCs w:val="24"/>
        </w:rPr>
        <w:t xml:space="preserve">information and </w:t>
      </w:r>
      <w:r w:rsidRPr="00645A66">
        <w:rPr>
          <w:sz w:val="24"/>
          <w:szCs w:val="24"/>
        </w:rPr>
        <w:t xml:space="preserve">the MBE, WBE </w:t>
      </w:r>
      <w:r w:rsidR="00D3560A" w:rsidRPr="00645A66">
        <w:rPr>
          <w:sz w:val="24"/>
          <w:szCs w:val="24"/>
        </w:rPr>
        <w:t>and/or</w:t>
      </w:r>
      <w:r w:rsidRPr="00645A66">
        <w:rPr>
          <w:sz w:val="24"/>
          <w:szCs w:val="24"/>
        </w:rPr>
        <w:t xml:space="preserve"> Disability Business Enterprise Participation </w:t>
      </w:r>
      <w:r w:rsidR="00D3560A" w:rsidRPr="00645A66">
        <w:rPr>
          <w:sz w:val="24"/>
          <w:szCs w:val="24"/>
        </w:rPr>
        <w:t xml:space="preserve">Plan </w:t>
      </w:r>
      <w:r w:rsidR="007B33C6" w:rsidRPr="00645A66">
        <w:rPr>
          <w:sz w:val="24"/>
          <w:szCs w:val="24"/>
        </w:rPr>
        <w:t>f</w:t>
      </w:r>
      <w:r w:rsidRPr="00645A66">
        <w:rPr>
          <w:sz w:val="24"/>
          <w:szCs w:val="24"/>
        </w:rPr>
        <w:t>orm</w:t>
      </w:r>
      <w:r w:rsidR="00D3560A" w:rsidRPr="00645A66">
        <w:rPr>
          <w:sz w:val="24"/>
          <w:szCs w:val="24"/>
        </w:rPr>
        <w:t>(</w:t>
      </w:r>
      <w:r w:rsidR="007B33C6" w:rsidRPr="00645A66">
        <w:rPr>
          <w:sz w:val="24"/>
          <w:szCs w:val="24"/>
        </w:rPr>
        <w:t>s</w:t>
      </w:r>
      <w:r w:rsidR="00D3560A" w:rsidRPr="00645A66">
        <w:rPr>
          <w:sz w:val="24"/>
          <w:szCs w:val="24"/>
        </w:rPr>
        <w:t>)</w:t>
      </w:r>
      <w:r w:rsidR="00D42C85">
        <w:rPr>
          <w:sz w:val="24"/>
          <w:szCs w:val="24"/>
        </w:rPr>
        <w:t xml:space="preserve"> (“ISBE Proposal”)</w:t>
      </w:r>
      <w:r w:rsidRPr="00645A66">
        <w:rPr>
          <w:sz w:val="24"/>
          <w:szCs w:val="24"/>
        </w:rPr>
        <w:t xml:space="preserve">. </w:t>
      </w:r>
      <w:r w:rsidR="009A5EBD" w:rsidRPr="00645A66">
        <w:rPr>
          <w:sz w:val="24"/>
          <w:szCs w:val="24"/>
        </w:rPr>
        <w:t>Vendor</w:t>
      </w:r>
      <w:r w:rsidRPr="00645A66">
        <w:rPr>
          <w:sz w:val="24"/>
          <w:szCs w:val="24"/>
        </w:rPr>
        <w:t xml:space="preserve">s are required to complete, sign and submit </w:t>
      </w:r>
      <w:r w:rsidR="007B33C6" w:rsidRPr="00645A66">
        <w:rPr>
          <w:sz w:val="24"/>
          <w:szCs w:val="24"/>
        </w:rPr>
        <w:t xml:space="preserve">these forms </w:t>
      </w:r>
      <w:r w:rsidRPr="00645A66">
        <w:rPr>
          <w:sz w:val="24"/>
          <w:szCs w:val="24"/>
        </w:rPr>
        <w:t xml:space="preserve">with their overall </w:t>
      </w:r>
      <w:proofErr w:type="gramStart"/>
      <w:r w:rsidRPr="00645A66">
        <w:rPr>
          <w:sz w:val="24"/>
          <w:szCs w:val="24"/>
        </w:rPr>
        <w:t>proposal</w:t>
      </w:r>
      <w:r w:rsidR="00EB4A9A">
        <w:rPr>
          <w:sz w:val="24"/>
          <w:szCs w:val="24"/>
        </w:rPr>
        <w:t>(</w:t>
      </w:r>
      <w:proofErr w:type="gramEnd"/>
      <w:r w:rsidR="00EB4A9A">
        <w:rPr>
          <w:sz w:val="24"/>
          <w:szCs w:val="24"/>
        </w:rPr>
        <w:t>uploaded to the “Price Evaluation Attachments” section on the “Attach Documents” tab)</w:t>
      </w:r>
      <w:r w:rsidR="00EB4A9A" w:rsidRPr="00645A66">
        <w:rPr>
          <w:sz w:val="24"/>
          <w:szCs w:val="24"/>
        </w:rPr>
        <w:t>.</w:t>
      </w:r>
      <w:r w:rsidRPr="00645A66">
        <w:rPr>
          <w:b/>
          <w:sz w:val="22"/>
          <w:szCs w:val="22"/>
        </w:rPr>
        <w:t xml:space="preserve"> </w:t>
      </w:r>
      <w:r w:rsidRPr="00645A66">
        <w:rPr>
          <w:sz w:val="24"/>
          <w:szCs w:val="24"/>
        </w:rPr>
        <w:t>Please</w:t>
      </w:r>
      <w:r w:rsidRPr="00837B74">
        <w:rPr>
          <w:sz w:val="24"/>
          <w:szCs w:val="24"/>
        </w:rPr>
        <w:t xml:space="preserve"> compl</w:t>
      </w:r>
      <w:r w:rsidR="00D3560A" w:rsidRPr="00837B74">
        <w:rPr>
          <w:sz w:val="24"/>
          <w:szCs w:val="24"/>
        </w:rPr>
        <w:t xml:space="preserve">ete separate forms for each MBE, </w:t>
      </w:r>
      <w:r w:rsidRPr="00837B74">
        <w:rPr>
          <w:sz w:val="24"/>
          <w:szCs w:val="24"/>
        </w:rPr>
        <w:t>WBE</w:t>
      </w:r>
      <w:r w:rsidR="002B5AE4">
        <w:rPr>
          <w:sz w:val="24"/>
          <w:szCs w:val="24"/>
        </w:rPr>
        <w:t>,</w:t>
      </w:r>
      <w:r w:rsidR="00760AD8">
        <w:rPr>
          <w:sz w:val="24"/>
          <w:szCs w:val="24"/>
        </w:rPr>
        <w:t xml:space="preserve"> </w:t>
      </w:r>
      <w:r w:rsidR="00D3560A" w:rsidRPr="00837B74">
        <w:rPr>
          <w:sz w:val="24"/>
          <w:szCs w:val="24"/>
        </w:rPr>
        <w:t>and/</w:t>
      </w:r>
      <w:r w:rsidRPr="00837B74">
        <w:rPr>
          <w:sz w:val="24"/>
          <w:szCs w:val="24"/>
        </w:rPr>
        <w:t>or Disability Business Enterprise subcontractor to be utilized on the solicitation.</w:t>
      </w:r>
    </w:p>
    <w:p w14:paraId="7F04A2B4" w14:textId="3BBABA24"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21" w:name="_Toc511304828"/>
      <w:bookmarkStart w:id="22" w:name="_Toc522613435"/>
      <w:r w:rsidRPr="00837B74">
        <w:rPr>
          <w:b/>
          <w:spacing w:val="14"/>
        </w:rPr>
        <w:t>SECTION</w:t>
      </w:r>
      <w:r w:rsidR="00F90636" w:rsidRPr="00837B74">
        <w:rPr>
          <w:b/>
          <w:spacing w:val="14"/>
        </w:rPr>
        <w:t xml:space="preserve"> </w:t>
      </w:r>
      <w:r w:rsidR="00EC12E5">
        <w:rPr>
          <w:b/>
          <w:spacing w:val="14"/>
        </w:rPr>
        <w:t>D</w:t>
      </w:r>
      <w:r w:rsidRPr="00837B74">
        <w:rPr>
          <w:b/>
          <w:spacing w:val="14"/>
        </w:rPr>
        <w:t xml:space="preserve">: </w:t>
      </w:r>
      <w:r w:rsidR="00866B1D" w:rsidRPr="00837B74">
        <w:rPr>
          <w:b/>
          <w:spacing w:val="14"/>
        </w:rPr>
        <w:t>EVALUATION AND SELECTION</w:t>
      </w:r>
      <w:bookmarkEnd w:id="21"/>
      <w:r w:rsidR="00981952" w:rsidRPr="00981952">
        <w:rPr>
          <w:b/>
          <w:spacing w:val="14"/>
        </w:rPr>
        <w:t xml:space="preserve"> </w:t>
      </w:r>
      <w:r w:rsidR="00981952">
        <w:rPr>
          <w:b/>
          <w:spacing w:val="14"/>
        </w:rPr>
        <w:t>- SOLICITATION SPECIFIC</w:t>
      </w:r>
      <w:bookmarkEnd w:id="22"/>
    </w:p>
    <w:p w14:paraId="4FEF294D" w14:textId="05058AC0" w:rsidR="00E27142" w:rsidRPr="00E27142" w:rsidRDefault="00E27142" w:rsidP="00E27142">
      <w:pPr>
        <w:jc w:val="both"/>
        <w:rPr>
          <w:color w:val="000000" w:themeColor="text1"/>
          <w:spacing w:val="14"/>
          <w:sz w:val="24"/>
          <w:szCs w:val="24"/>
        </w:rPr>
      </w:pPr>
      <w:r w:rsidRPr="00E27142">
        <w:rPr>
          <w:color w:val="000000" w:themeColor="text1"/>
          <w:spacing w:val="14"/>
          <w:sz w:val="24"/>
          <w:szCs w:val="24"/>
        </w:rPr>
        <w:t xml:space="preserve">Proposals shall be reviewed by a technical evaluation committee (“TEC”) comprised of staff from State agencies. </w:t>
      </w:r>
    </w:p>
    <w:p w14:paraId="40A8A438" w14:textId="77777777" w:rsidR="00E27142" w:rsidRDefault="00E27142" w:rsidP="00E27142">
      <w:pPr>
        <w:jc w:val="both"/>
        <w:rPr>
          <w:sz w:val="24"/>
          <w:szCs w:val="24"/>
        </w:rPr>
      </w:pPr>
    </w:p>
    <w:p w14:paraId="382E4C6B" w14:textId="44261BCE" w:rsidR="00327C23" w:rsidRPr="00E27142" w:rsidRDefault="00E27142" w:rsidP="00E27142">
      <w:pPr>
        <w:jc w:val="both"/>
        <w:rPr>
          <w:sz w:val="24"/>
          <w:szCs w:val="24"/>
        </w:rPr>
      </w:pPr>
      <w:r w:rsidRPr="00157DDC">
        <w:rPr>
          <w:sz w:val="24"/>
          <w:szCs w:val="24"/>
        </w:rPr>
        <w:t xml:space="preserve">The TEC first shall consider technical proposals. </w:t>
      </w:r>
      <w:r w:rsidR="00327C23" w:rsidRPr="00837B74">
        <w:rPr>
          <w:spacing w:val="14"/>
          <w:sz w:val="24"/>
          <w:szCs w:val="24"/>
        </w:rPr>
        <w:t xml:space="preserve">Technical </w:t>
      </w:r>
      <w:r w:rsidR="00720A8B" w:rsidRPr="00837B74">
        <w:rPr>
          <w:spacing w:val="14"/>
          <w:sz w:val="24"/>
          <w:szCs w:val="24"/>
        </w:rPr>
        <w:t>p</w:t>
      </w:r>
      <w:r w:rsidR="00327C23" w:rsidRPr="00837B74">
        <w:rPr>
          <w:spacing w:val="14"/>
          <w:sz w:val="24"/>
          <w:szCs w:val="24"/>
        </w:rPr>
        <w:t>roposal</w:t>
      </w:r>
      <w:r w:rsidR="00720A8B" w:rsidRPr="00837B74">
        <w:rPr>
          <w:spacing w:val="14"/>
          <w:sz w:val="24"/>
          <w:szCs w:val="24"/>
        </w:rPr>
        <w:t>s</w:t>
      </w:r>
      <w:r w:rsidR="00327C23" w:rsidRPr="00837B74">
        <w:rPr>
          <w:spacing w:val="14"/>
          <w:sz w:val="24"/>
          <w:szCs w:val="24"/>
        </w:rPr>
        <w:t xml:space="preserve"> must receive a minimu</w:t>
      </w:r>
      <w:r w:rsidR="00327C23" w:rsidRPr="00517ED9">
        <w:rPr>
          <w:color w:val="000000" w:themeColor="text1"/>
          <w:spacing w:val="14"/>
          <w:sz w:val="24"/>
          <w:szCs w:val="24"/>
        </w:rPr>
        <w:t xml:space="preserve">m of </w:t>
      </w:r>
      <w:permStart w:id="1553604912" w:edGrp="everyone"/>
      <w:r w:rsidR="00327C23" w:rsidRPr="00B459DD">
        <w:rPr>
          <w:color w:val="000000" w:themeColor="text1"/>
          <w:spacing w:val="14"/>
          <w:sz w:val="24"/>
          <w:szCs w:val="24"/>
        </w:rPr>
        <w:t>60 (85.7%)</w:t>
      </w:r>
      <w:permEnd w:id="1553604912"/>
      <w:r w:rsidR="00327C23" w:rsidRPr="00517ED9">
        <w:rPr>
          <w:color w:val="000000" w:themeColor="text1"/>
          <w:spacing w:val="14"/>
          <w:sz w:val="24"/>
          <w:szCs w:val="24"/>
        </w:rPr>
        <w:t xml:space="preserve"> out of a maximum of </w:t>
      </w:r>
      <w:permStart w:id="1609705086" w:edGrp="everyone"/>
      <w:r w:rsidR="00327C23" w:rsidRPr="00B459DD">
        <w:rPr>
          <w:color w:val="000000" w:themeColor="text1"/>
          <w:spacing w:val="14"/>
          <w:sz w:val="24"/>
          <w:szCs w:val="24"/>
        </w:rPr>
        <w:t>70</w:t>
      </w:r>
      <w:permEnd w:id="1609705086"/>
      <w:r w:rsidR="00327C23"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w:t>
      </w:r>
      <w:r w:rsidR="002B5AE4">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00327C23" w:rsidRPr="00517ED9">
        <w:rPr>
          <w:color w:val="000000" w:themeColor="text1"/>
          <w:spacing w:val="14"/>
          <w:sz w:val="24"/>
          <w:szCs w:val="24"/>
        </w:rPr>
        <w:t xml:space="preserve">roposals scoring less than </w:t>
      </w:r>
      <w:permStart w:id="961501197" w:edGrp="everyone"/>
      <w:r w:rsidR="00327C23" w:rsidRPr="00B459DD">
        <w:rPr>
          <w:color w:val="000000" w:themeColor="text1"/>
          <w:spacing w:val="14"/>
          <w:sz w:val="24"/>
          <w:szCs w:val="24"/>
        </w:rPr>
        <w:t>60</w:t>
      </w:r>
      <w:permEnd w:id="961501197"/>
      <w:r w:rsidR="00327C23" w:rsidRPr="00517ED9">
        <w:rPr>
          <w:color w:val="000000" w:themeColor="text1"/>
          <w:spacing w:val="14"/>
          <w:sz w:val="24"/>
          <w:szCs w:val="24"/>
        </w:rPr>
        <w:t xml:space="preserve"> points </w:t>
      </w:r>
      <w:r w:rsidR="00930134" w:rsidRPr="00517ED9">
        <w:rPr>
          <w:color w:val="000000" w:themeColor="text1"/>
          <w:spacing w:val="14"/>
          <w:sz w:val="24"/>
          <w:szCs w:val="24"/>
        </w:rPr>
        <w:t>sha</w:t>
      </w:r>
      <w:r w:rsidR="00327C23"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00327C23"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00327C23"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00327C23" w:rsidRPr="00517ED9">
        <w:rPr>
          <w:color w:val="000000" w:themeColor="text1"/>
          <w:spacing w:val="14"/>
          <w:sz w:val="24"/>
          <w:szCs w:val="24"/>
        </w:rPr>
        <w:t xml:space="preserve"> opened </w:t>
      </w:r>
      <w:r w:rsidR="002B5AE4">
        <w:rPr>
          <w:color w:val="000000" w:themeColor="text1"/>
          <w:spacing w:val="14"/>
          <w:sz w:val="24"/>
          <w:szCs w:val="24"/>
        </w:rPr>
        <w:t>or</w:t>
      </w:r>
      <w:r w:rsidR="00327C23" w:rsidRPr="00517ED9">
        <w:rPr>
          <w:color w:val="000000" w:themeColor="text1"/>
          <w:spacing w:val="14"/>
          <w:sz w:val="24"/>
          <w:szCs w:val="24"/>
        </w:rPr>
        <w:t xml:space="preserve"> evaluated</w:t>
      </w:r>
      <w:bookmarkStart w:id="23" w:name="_Hlk36022393"/>
      <w:r w:rsidR="002B5AE4">
        <w:rPr>
          <w:color w:val="000000" w:themeColor="text1"/>
          <w:spacing w:val="14"/>
          <w:sz w:val="24"/>
          <w:szCs w:val="24"/>
        </w:rPr>
        <w:t>;</w:t>
      </w:r>
      <w:r w:rsidR="00760AD8">
        <w:rPr>
          <w:color w:val="000000" w:themeColor="text1"/>
          <w:spacing w:val="14"/>
          <w:sz w:val="24"/>
          <w:szCs w:val="24"/>
        </w:rPr>
        <w:t xml:space="preserve"> </w:t>
      </w:r>
      <w:r w:rsidR="002B5AE4">
        <w:rPr>
          <w:color w:val="000000" w:themeColor="text1"/>
          <w:spacing w:val="14"/>
          <w:sz w:val="24"/>
          <w:szCs w:val="24"/>
        </w:rPr>
        <w:t>such</w:t>
      </w:r>
      <w:r w:rsidR="00327C23" w:rsidRPr="00517ED9">
        <w:rPr>
          <w:color w:val="000000" w:themeColor="text1"/>
          <w:spacing w:val="14"/>
          <w:sz w:val="24"/>
          <w:szCs w:val="24"/>
        </w:rPr>
        <w:t xml:space="preserve"> proposal</w:t>
      </w:r>
      <w:r w:rsidR="002B5AE4">
        <w:rPr>
          <w:color w:val="000000" w:themeColor="text1"/>
          <w:spacing w:val="14"/>
          <w:sz w:val="24"/>
          <w:szCs w:val="24"/>
        </w:rPr>
        <w:t>s</w:t>
      </w:r>
      <w:r w:rsidR="00327C23" w:rsidRPr="00517ED9">
        <w:rPr>
          <w:color w:val="000000" w:themeColor="text1"/>
          <w:spacing w:val="14"/>
          <w:sz w:val="24"/>
          <w:szCs w:val="24"/>
        </w:rPr>
        <w:t xml:space="preserve"> </w:t>
      </w:r>
      <w:r w:rsidR="008866D4">
        <w:rPr>
          <w:color w:val="000000" w:themeColor="text1"/>
          <w:spacing w:val="14"/>
          <w:sz w:val="24"/>
          <w:szCs w:val="24"/>
        </w:rPr>
        <w:t>shall not receive</w:t>
      </w:r>
      <w:r w:rsidR="00327C23" w:rsidRPr="00517ED9">
        <w:rPr>
          <w:color w:val="000000" w:themeColor="text1"/>
          <w:spacing w:val="14"/>
          <w:sz w:val="24"/>
          <w:szCs w:val="24"/>
        </w:rPr>
        <w:t xml:space="preserve"> further consideration.</w:t>
      </w:r>
      <w:bookmarkEnd w:id="23"/>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6C9BABBE"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permStart w:id="2112031870" w:edGrp="everyone"/>
      <w:r w:rsidR="003D4299" w:rsidRPr="00B459DD">
        <w:rPr>
          <w:color w:val="000000" w:themeColor="text1"/>
          <w:spacing w:val="14"/>
          <w:sz w:val="24"/>
          <w:szCs w:val="24"/>
        </w:rPr>
        <w:t>60</w:t>
      </w:r>
      <w:permEnd w:id="2112031870"/>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t>
      </w:r>
      <w:r w:rsidR="008866D4">
        <w:rPr>
          <w:color w:val="000000" w:themeColor="text1"/>
          <w:spacing w:val="14"/>
          <w:sz w:val="24"/>
          <w:szCs w:val="24"/>
        </w:rPr>
        <w:t>shal</w:t>
      </w:r>
      <w:r w:rsidR="004A68F3" w:rsidRPr="00837B74">
        <w:rPr>
          <w:color w:val="000000" w:themeColor="text1"/>
          <w:spacing w:val="14"/>
          <w:sz w:val="24"/>
          <w:szCs w:val="24"/>
        </w:rPr>
        <w:t xml:space="preserve">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permStart w:id="2100371280" w:edGrp="everyone"/>
      <w:r w:rsidR="004A68F3" w:rsidRPr="00B459DD">
        <w:rPr>
          <w:color w:val="000000" w:themeColor="text1"/>
          <w:spacing w:val="14"/>
          <w:sz w:val="24"/>
          <w:szCs w:val="24"/>
        </w:rPr>
        <w:t>30</w:t>
      </w:r>
      <w:permEnd w:id="2100371280"/>
      <w:r w:rsidR="004A68F3" w:rsidRPr="00837B74">
        <w:rPr>
          <w:color w:val="000000" w:themeColor="text1"/>
          <w:spacing w:val="14"/>
          <w:sz w:val="24"/>
          <w:szCs w:val="24"/>
        </w:rPr>
        <w:t xml:space="preserve"> points </w:t>
      </w:r>
      <w:r w:rsidR="00617171" w:rsidRPr="00837B74">
        <w:rPr>
          <w:color w:val="000000" w:themeColor="text1"/>
          <w:spacing w:val="14"/>
          <w:sz w:val="24"/>
          <w:szCs w:val="24"/>
        </w:rPr>
        <w:t>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A</w:t>
      </w:r>
      <w:r w:rsidR="008B0786">
        <w:rPr>
          <w:color w:val="000000" w:themeColor="text1"/>
          <w:spacing w:val="14"/>
          <w:sz w:val="24"/>
          <w:szCs w:val="24"/>
        </w:rPr>
        <w:t>s</w:t>
      </w:r>
      <w:r w:rsidR="00617171" w:rsidRPr="00837B74">
        <w:rPr>
          <w:color w:val="000000" w:themeColor="text1"/>
          <w:spacing w:val="14"/>
          <w:sz w:val="24"/>
          <w:szCs w:val="24"/>
        </w:rPr>
        <w:t xml:space="preserve"> total possible evaluation points are determined</w:t>
      </w:r>
      <w:r w:rsidR="008B0786">
        <w:rPr>
          <w:color w:val="000000" w:themeColor="text1"/>
          <w:spacing w:val="14"/>
          <w:sz w:val="24"/>
          <w:szCs w:val="24"/>
        </w:rPr>
        <w:t>,</w:t>
      </w:r>
      <w:r w:rsidR="00617171" w:rsidRPr="00837B74">
        <w:rPr>
          <w:color w:val="000000" w:themeColor="text1"/>
          <w:spacing w:val="14"/>
          <w:sz w:val="24"/>
          <w:szCs w:val="24"/>
        </w:rPr>
        <w:t xml:space="preserve"> </w:t>
      </w:r>
      <w:r w:rsidR="008866D4">
        <w:rPr>
          <w:color w:val="000000" w:themeColor="text1"/>
          <w:spacing w:val="14"/>
          <w:sz w:val="24"/>
          <w:szCs w:val="24"/>
        </w:rPr>
        <w:t xml:space="preserve">vendor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ermStart w:id="173559739" w:edGrp="everyone"/>
            <w:r w:rsidRPr="00837B74">
              <w:rPr>
                <w:b/>
                <w:color w:val="000000" w:themeColor="text1"/>
                <w:sz w:val="24"/>
                <w:szCs w:val="24"/>
              </w:rPr>
              <w:t>Criteria</w:t>
            </w:r>
            <w:permEnd w:id="173559739"/>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76935">
            <w:pPr>
              <w:widowControl w:val="0"/>
              <w:spacing w:line="120" w:lineRule="exact"/>
              <w:jc w:val="both"/>
              <w:rPr>
                <w:b/>
                <w:sz w:val="24"/>
                <w:szCs w:val="24"/>
              </w:rPr>
            </w:pPr>
          </w:p>
          <w:p w14:paraId="5D0FCEBB" w14:textId="129337AC"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ermStart w:id="1355766988" w:edGrp="everyone"/>
            <w:r w:rsidRPr="00837B74">
              <w:rPr>
                <w:b/>
                <w:sz w:val="24"/>
                <w:szCs w:val="24"/>
              </w:rPr>
              <w:t>Possible Points</w:t>
            </w:r>
            <w:permEnd w:id="1355766988"/>
          </w:p>
        </w:tc>
      </w:tr>
      <w:tr w:rsidR="00327C23" w:rsidRPr="00837B74" w14:paraId="040E5D91" w14:textId="77777777" w:rsidTr="00D21290">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9F042D9" w14:textId="0F5FD1DE" w:rsidR="00327C23" w:rsidRPr="00B459DD" w:rsidRDefault="004E15B2" w:rsidP="00F908CF">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permStart w:id="1587562826" w:edGrp="everyone" w:colFirst="0" w:colLast="0"/>
            <w:permStart w:id="1145202703" w:edGrp="everyone" w:colFirst="1" w:colLast="1"/>
            <w:r w:rsidRPr="00B459DD">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tcPr>
          <w:p w14:paraId="3DDA8ADF" w14:textId="6FDDFD37"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10 Points</w:t>
            </w:r>
          </w:p>
        </w:tc>
      </w:tr>
      <w:tr w:rsidR="00327C23" w:rsidRPr="00837B74" w14:paraId="58FD93E2"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3D54C1CF" w14:textId="7E8C8751" w:rsidR="00327C23" w:rsidRPr="00B459DD" w:rsidRDefault="004E15B2"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permStart w:id="1290751042" w:edGrp="everyone" w:colFirst="0" w:colLast="0"/>
            <w:permStart w:id="1135424643" w:edGrp="everyone" w:colFirst="1" w:colLast="1"/>
            <w:permEnd w:id="1587562826"/>
            <w:permEnd w:id="1145202703"/>
            <w:r w:rsidRPr="00B459DD">
              <w:rPr>
                <w:spacing w:val="14"/>
                <w:sz w:val="24"/>
                <w:szCs w:val="24"/>
              </w:rPr>
              <w:t xml:space="preserve">Capability, Capacity, and Qualifications of the </w:t>
            </w:r>
            <w:r w:rsidR="00EC397F" w:rsidRPr="008B0786">
              <w:rPr>
                <w:spacing w:val="14"/>
                <w:sz w:val="24"/>
                <w:szCs w:val="24"/>
              </w:rPr>
              <w:t>Vendor</w:t>
            </w:r>
          </w:p>
        </w:tc>
        <w:tc>
          <w:tcPr>
            <w:tcW w:w="1980" w:type="dxa"/>
            <w:tcBorders>
              <w:top w:val="single" w:sz="6" w:space="0" w:color="000000"/>
              <w:left w:val="single" w:sz="6" w:space="0" w:color="000000"/>
              <w:bottom w:val="single" w:sz="6" w:space="0" w:color="000000"/>
              <w:right w:val="single" w:sz="6" w:space="0" w:color="000000"/>
            </w:tcBorders>
          </w:tcPr>
          <w:p w14:paraId="366B99F1" w14:textId="22EBD9D1"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w:t>
            </w:r>
            <w:r w:rsidR="00714840">
              <w:rPr>
                <w:color w:val="000000" w:themeColor="text1"/>
                <w:sz w:val="24"/>
                <w:szCs w:val="24"/>
              </w:rPr>
              <w:t>5</w:t>
            </w:r>
            <w:r w:rsidRPr="00B459DD">
              <w:rPr>
                <w:color w:val="000000" w:themeColor="text1"/>
                <w:sz w:val="24"/>
                <w:szCs w:val="24"/>
              </w:rPr>
              <w:t xml:space="preserve"> Points</w:t>
            </w:r>
          </w:p>
        </w:tc>
      </w:tr>
      <w:tr w:rsidR="0073190D" w:rsidRPr="00837B74" w14:paraId="604AE088"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44F0E709" w14:textId="6A1AB252" w:rsidR="0073190D" w:rsidRPr="00B459DD" w:rsidRDefault="0073190D"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spacing w:val="14"/>
                <w:sz w:val="24"/>
                <w:szCs w:val="24"/>
              </w:rPr>
            </w:pPr>
            <w:permStart w:id="232226571" w:edGrp="everyone" w:colFirst="0" w:colLast="0"/>
            <w:permStart w:id="689976107" w:edGrp="everyone" w:colFirst="1" w:colLast="1"/>
            <w:permEnd w:id="1290751042"/>
            <w:permEnd w:id="1135424643"/>
            <w:r w:rsidRPr="00B459DD">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tcPr>
          <w:p w14:paraId="68DC2380" w14:textId="00F965EC" w:rsidR="0073190D" w:rsidRPr="00B459DD" w:rsidRDefault="00714840"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Pr>
                <w:color w:val="000000" w:themeColor="text1"/>
                <w:sz w:val="24"/>
                <w:szCs w:val="24"/>
              </w:rPr>
              <w:t>45</w:t>
            </w:r>
            <w:r w:rsidR="0073190D" w:rsidRPr="00B459DD">
              <w:rPr>
                <w:color w:val="000000" w:themeColor="text1"/>
                <w:sz w:val="24"/>
                <w:szCs w:val="24"/>
              </w:rPr>
              <w:t xml:space="preserve"> Points</w:t>
            </w:r>
          </w:p>
        </w:tc>
      </w:tr>
      <w:permEnd w:id="232226571"/>
      <w:permEnd w:id="689976107"/>
      <w:tr w:rsidR="00327C23" w:rsidRPr="00837B74" w14:paraId="5E6596F2"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D761AD6" w14:textId="11914E9D"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color w:val="000000" w:themeColor="text1"/>
                <w:sz w:val="24"/>
                <w:szCs w:val="24"/>
              </w:rPr>
            </w:pPr>
            <w:r w:rsidRPr="00837B74">
              <w:rPr>
                <w:b/>
                <w:color w:val="000000" w:themeColor="text1"/>
                <w:sz w:val="24"/>
                <w:szCs w:val="24"/>
              </w:rPr>
              <w:t xml:space="preserve">            </w:t>
            </w:r>
            <w:r w:rsidR="00212BCA">
              <w:rPr>
                <w:b/>
                <w:color w:val="000000" w:themeColor="text1"/>
                <w:sz w:val="24"/>
                <w:szCs w:val="24"/>
              </w:rPr>
              <w:t xml:space="preserve">                         </w:t>
            </w: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6F06A8B" w14:textId="77777777" w:rsidR="00327C23" w:rsidRPr="00B459DD" w:rsidRDefault="00327C23" w:rsidP="00276935">
            <w:pPr>
              <w:widowControl w:val="0"/>
              <w:spacing w:line="120" w:lineRule="exact"/>
              <w:ind w:left="360"/>
              <w:jc w:val="both"/>
              <w:rPr>
                <w:b/>
                <w:color w:val="000000" w:themeColor="text1"/>
                <w:sz w:val="24"/>
                <w:szCs w:val="24"/>
              </w:rPr>
            </w:pPr>
          </w:p>
          <w:p w14:paraId="3034386E" w14:textId="77777777" w:rsidR="00327C23" w:rsidRPr="00B459DD"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permStart w:id="954086471" w:edGrp="everyone"/>
            <w:r w:rsidRPr="00B459DD">
              <w:rPr>
                <w:b/>
                <w:color w:val="000000" w:themeColor="text1"/>
                <w:sz w:val="24"/>
                <w:szCs w:val="24"/>
              </w:rPr>
              <w:t>70 Points</w:t>
            </w:r>
            <w:permEnd w:id="954086471"/>
          </w:p>
        </w:tc>
      </w:tr>
      <w:tr w:rsidR="007C5C89" w:rsidRPr="00837B74" w14:paraId="02DC71C7"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EE17ECF" w14:textId="77777777" w:rsidR="007C5C89" w:rsidRPr="00837B74" w:rsidRDefault="007C5C89" w:rsidP="007C5C89">
            <w:pPr>
              <w:widowControl w:val="0"/>
              <w:spacing w:line="120" w:lineRule="exact"/>
              <w:ind w:left="360"/>
              <w:jc w:val="both"/>
              <w:rPr>
                <w:b/>
                <w:color w:val="000000" w:themeColor="text1"/>
                <w:sz w:val="24"/>
                <w:szCs w:val="24"/>
              </w:rPr>
            </w:pPr>
          </w:p>
          <w:p w14:paraId="32D39BC4" w14:textId="1927577B" w:rsidR="007C5C89" w:rsidRPr="00837B74" w:rsidRDefault="007C5C89" w:rsidP="00852A3D">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b/>
                <w:color w:val="000000" w:themeColor="text1"/>
                <w:sz w:val="24"/>
                <w:szCs w:val="24"/>
              </w:rPr>
            </w:pPr>
            <w:r w:rsidRPr="00837B74">
              <w:rPr>
                <w:color w:val="000000" w:themeColor="text1"/>
                <w:sz w:val="24"/>
                <w:szCs w:val="24"/>
              </w:rPr>
              <w:t>Cost proposal</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5309B" w14:textId="77777777" w:rsidR="007C5C89" w:rsidRPr="00B459DD" w:rsidRDefault="007C5C89" w:rsidP="007C5C89">
            <w:pPr>
              <w:widowControl w:val="0"/>
              <w:spacing w:line="120" w:lineRule="exact"/>
              <w:jc w:val="both"/>
              <w:rPr>
                <w:sz w:val="24"/>
                <w:szCs w:val="24"/>
              </w:rPr>
            </w:pPr>
          </w:p>
          <w:p w14:paraId="7B0B7D8D" w14:textId="41C66EDE" w:rsidR="007C5C89" w:rsidRPr="00B459DD" w:rsidRDefault="007C5C89" w:rsidP="00852A3D">
            <w:pPr>
              <w:widowControl w:val="0"/>
              <w:ind w:left="360"/>
              <w:jc w:val="both"/>
              <w:rPr>
                <w:b/>
                <w:color w:val="000000" w:themeColor="text1"/>
                <w:sz w:val="24"/>
                <w:szCs w:val="24"/>
              </w:rPr>
            </w:pPr>
            <w:permStart w:id="1780566460" w:edGrp="everyone"/>
            <w:r w:rsidRPr="00B459DD">
              <w:rPr>
                <w:sz w:val="24"/>
                <w:szCs w:val="24"/>
              </w:rPr>
              <w:t xml:space="preserve"> 30 Points</w:t>
            </w:r>
            <w:permEnd w:id="1780566460"/>
          </w:p>
        </w:tc>
      </w:tr>
      <w:tr w:rsidR="007C5C89" w:rsidRPr="00837B74" w14:paraId="4E235958"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626377C" w14:textId="7DBD4B7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32B45D9" w14:textId="1DB0B5CC" w:rsidR="007C5C89" w:rsidRPr="00837B74" w:rsidRDefault="007C5C89" w:rsidP="007C5C89">
            <w:pPr>
              <w:widowControl w:val="0"/>
              <w:spacing w:before="120"/>
              <w:ind w:left="360"/>
              <w:jc w:val="both"/>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420865">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009332E" w14:textId="254B5DC0"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color w:val="000000" w:themeColor="text1"/>
                <w:sz w:val="24"/>
                <w:szCs w:val="24"/>
              </w:rPr>
              <w:t>ISBE Participation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C41685" w14:textId="6D298F4F" w:rsidR="007C5C89" w:rsidRPr="00837B74" w:rsidRDefault="00E40EE2" w:rsidP="00E40EE2">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852A3D">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4BFA229" w14:textId="77777777" w:rsidR="007C5C89" w:rsidRPr="00837B74" w:rsidRDefault="007C5C89" w:rsidP="007C5C89">
            <w:pPr>
              <w:widowControl w:val="0"/>
              <w:spacing w:line="120" w:lineRule="exact"/>
              <w:ind w:left="360"/>
              <w:jc w:val="both"/>
              <w:rPr>
                <w:color w:val="000000" w:themeColor="text1"/>
                <w:sz w:val="24"/>
                <w:szCs w:val="24"/>
              </w:rPr>
            </w:pPr>
          </w:p>
          <w:p w14:paraId="46BCACAD" w14:textId="3E52D7D7"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 xml:space="preserve">                               </w:t>
            </w:r>
            <w:r w:rsidR="001261AD">
              <w:rPr>
                <w:b/>
                <w:color w:val="000000" w:themeColor="text1"/>
                <w:sz w:val="24"/>
                <w:szCs w:val="24"/>
              </w:rPr>
              <w:t xml:space="preserve">                         </w:t>
            </w:r>
            <w:r w:rsidRPr="00837B74">
              <w:rPr>
                <w:b/>
                <w:color w:val="000000" w:themeColor="text1"/>
                <w:sz w:val="24"/>
                <w:szCs w:val="24"/>
              </w:rPr>
              <w:t xml:space="preserve">Total Possible Points </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F394203" w14:textId="77777777" w:rsidR="007C5C89" w:rsidRPr="00837B74" w:rsidRDefault="007C5C89" w:rsidP="007C5C89">
            <w:pPr>
              <w:widowControl w:val="0"/>
              <w:spacing w:line="120" w:lineRule="exact"/>
              <w:ind w:left="360"/>
              <w:jc w:val="both"/>
              <w:rPr>
                <w:b/>
                <w:color w:val="000000" w:themeColor="text1"/>
                <w:sz w:val="24"/>
                <w:szCs w:val="24"/>
              </w:rPr>
            </w:pPr>
          </w:p>
          <w:p w14:paraId="62A64CC5" w14:textId="4F4BFE38"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106 Points</w:t>
            </w:r>
          </w:p>
        </w:tc>
      </w:tr>
    </w:tbl>
    <w:p w14:paraId="1BE4EB37" w14:textId="77777777" w:rsidR="00440AFE" w:rsidRDefault="00440AFE" w:rsidP="001261AD">
      <w:pPr>
        <w:pStyle w:val="ListParagraph"/>
        <w:ind w:left="0"/>
        <w:jc w:val="both"/>
        <w:rPr>
          <w:spacing w:val="14"/>
          <w:sz w:val="24"/>
          <w:szCs w:val="24"/>
        </w:rPr>
      </w:pPr>
    </w:p>
    <w:p w14:paraId="530EF607" w14:textId="4AC6DBAF" w:rsidR="001261AD" w:rsidRPr="00EC12E5" w:rsidRDefault="00440AFE" w:rsidP="001261AD">
      <w:pPr>
        <w:pStyle w:val="ListParagraph"/>
        <w:ind w:left="0"/>
        <w:jc w:val="both"/>
        <w:rPr>
          <w:color w:val="000000" w:themeColor="text1"/>
          <w:spacing w:val="14"/>
          <w:sz w:val="24"/>
          <w:szCs w:val="24"/>
        </w:rPr>
      </w:pPr>
      <w:r w:rsidRPr="008B0786">
        <w:rPr>
          <w:color w:val="000000" w:themeColor="text1"/>
          <w:spacing w:val="14"/>
          <w:sz w:val="24"/>
          <w:szCs w:val="24"/>
        </w:rPr>
        <w:t xml:space="preserve">See the </w:t>
      </w:r>
      <w:r w:rsidR="008B0786" w:rsidRPr="008B0786">
        <w:rPr>
          <w:color w:val="000000" w:themeColor="text1"/>
          <w:spacing w:val="14"/>
          <w:sz w:val="24"/>
          <w:szCs w:val="24"/>
        </w:rPr>
        <w:t>“</w:t>
      </w:r>
      <w:r w:rsidRPr="008B0786">
        <w:rPr>
          <w:color w:val="000000" w:themeColor="text1"/>
          <w:spacing w:val="14"/>
          <w:sz w:val="24"/>
          <w:szCs w:val="24"/>
        </w:rPr>
        <w:t>Requirements</w:t>
      </w:r>
      <w:r w:rsidR="008B0786" w:rsidRPr="008B0786">
        <w:rPr>
          <w:color w:val="000000" w:themeColor="text1"/>
          <w:spacing w:val="14"/>
          <w:sz w:val="24"/>
          <w:szCs w:val="24"/>
        </w:rPr>
        <w:t>”</w:t>
      </w:r>
      <w:r w:rsidRPr="008B0786">
        <w:rPr>
          <w:color w:val="000000" w:themeColor="text1"/>
          <w:spacing w:val="14"/>
          <w:sz w:val="24"/>
          <w:szCs w:val="24"/>
        </w:rPr>
        <w:t xml:space="preserve"> tab of this solicitation for </w:t>
      </w:r>
      <w:r w:rsidR="001C4F84" w:rsidRPr="008B0786">
        <w:rPr>
          <w:color w:val="000000" w:themeColor="text1"/>
          <w:spacing w:val="14"/>
          <w:sz w:val="24"/>
          <w:szCs w:val="24"/>
        </w:rPr>
        <w:t xml:space="preserve">additional </w:t>
      </w:r>
      <w:r w:rsidRPr="008B0786">
        <w:rPr>
          <w:color w:val="000000" w:themeColor="text1"/>
          <w:spacing w:val="14"/>
          <w:sz w:val="24"/>
          <w:szCs w:val="24"/>
        </w:rPr>
        <w:t>information on the evaluation and selection process</w:t>
      </w:r>
      <w:r w:rsidR="001C4F84" w:rsidRPr="008B0786">
        <w:rPr>
          <w:color w:val="000000" w:themeColor="text1"/>
          <w:spacing w:val="14"/>
          <w:sz w:val="24"/>
          <w:szCs w:val="24"/>
        </w:rPr>
        <w:t xml:space="preserve"> in the “RFP Standard Specification” section</w:t>
      </w:r>
      <w:r w:rsidRPr="008B0786">
        <w:rPr>
          <w:color w:val="000000" w:themeColor="text1"/>
          <w:spacing w:val="14"/>
          <w:sz w:val="24"/>
          <w:szCs w:val="24"/>
        </w:rPr>
        <w:t>.</w:t>
      </w:r>
    </w:p>
    <w:p w14:paraId="5459D766" w14:textId="77777777" w:rsidR="008866D4" w:rsidRDefault="008866D4" w:rsidP="001261AD">
      <w:pPr>
        <w:pStyle w:val="ListParagraph"/>
        <w:ind w:left="0"/>
        <w:jc w:val="both"/>
        <w:rPr>
          <w:spacing w:val="14"/>
          <w:sz w:val="24"/>
          <w:szCs w:val="24"/>
        </w:rPr>
      </w:pPr>
    </w:p>
    <w:p w14:paraId="1918F350" w14:textId="77777777" w:rsidR="00793F9B" w:rsidRPr="00837B74" w:rsidRDefault="00793F9B" w:rsidP="00276935">
      <w:pPr>
        <w:ind w:left="180"/>
        <w:jc w:val="both"/>
        <w:rPr>
          <w:color w:val="00B050"/>
          <w:spacing w:val="14"/>
          <w:sz w:val="24"/>
          <w:szCs w:val="24"/>
        </w:rPr>
      </w:pPr>
    </w:p>
    <w:sectPr w:rsidR="00793F9B" w:rsidRPr="00837B74" w:rsidSect="00100708">
      <w:footerReference w:type="default" r:id="rId26"/>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7547D64" w14:textId="515FC299" w:rsidR="006F3DBF" w:rsidRPr="006F3DBF" w:rsidRDefault="00811924" w:rsidP="006F3DBF">
      <w:pPr>
        <w:pStyle w:val="CommentText"/>
        <w:numPr>
          <w:ilvl w:val="0"/>
          <w:numId w:val="12"/>
        </w:numPr>
        <w:rPr>
          <w:b/>
          <w:bCs/>
        </w:rPr>
      </w:pPr>
      <w:r>
        <w:rPr>
          <w:rStyle w:val="CommentReference"/>
        </w:rPr>
        <w:annotationRef/>
      </w:r>
      <w:r w:rsidRPr="00ED7165">
        <w:rPr>
          <w:b/>
          <w:bCs/>
        </w:rPr>
        <w:t>Agency</w:t>
      </w:r>
      <w:r>
        <w:t xml:space="preserve"> </w:t>
      </w:r>
      <w:r w:rsidR="00AA3092">
        <w:t xml:space="preserve">fills in </w:t>
      </w:r>
      <w:r w:rsidR="00ED7165">
        <w:rPr>
          <w:b/>
          <w:bCs/>
        </w:rPr>
        <w:t>ALL</w:t>
      </w:r>
      <w:r w:rsidR="00AA3092">
        <w:t xml:space="preserve"> header fields</w:t>
      </w:r>
      <w:r w:rsidR="006F3DBF">
        <w:t xml:space="preserve">.  </w:t>
      </w:r>
    </w:p>
    <w:p w14:paraId="391E2EBA" w14:textId="6A80536D" w:rsidR="00811924" w:rsidRPr="001F61D6" w:rsidRDefault="00811924" w:rsidP="006F3DBF">
      <w:pPr>
        <w:pStyle w:val="CommentText"/>
        <w:numPr>
          <w:ilvl w:val="0"/>
          <w:numId w:val="12"/>
        </w:numPr>
      </w:pPr>
      <w:r w:rsidRPr="00ED7165">
        <w:rPr>
          <w:b/>
          <w:bCs/>
        </w:rPr>
        <w:t>Buyer</w:t>
      </w:r>
      <w:r>
        <w:t xml:space="preserve"> will copy into OSP’s </w:t>
      </w:r>
      <w:r w:rsidR="001F61D6">
        <w:t>“H</w:t>
      </w:r>
      <w:r>
        <w:t>eader</w:t>
      </w:r>
      <w:r w:rsidR="001F61D6">
        <w:t>” &gt;</w:t>
      </w:r>
      <w:r>
        <w:t xml:space="preserve"> </w:t>
      </w:r>
      <w:r w:rsidR="001F61D6" w:rsidRPr="001F61D6">
        <w:t>D</w:t>
      </w:r>
      <w:r w:rsidRPr="001F61D6">
        <w:t xml:space="preserve">elete this section off </w:t>
      </w:r>
      <w:r w:rsidR="006F3DBF" w:rsidRPr="001F61D6">
        <w:t>the finalized</w:t>
      </w:r>
      <w:r w:rsidR="001F61D6" w:rsidRPr="001F61D6">
        <w:t xml:space="preserve"> </w:t>
      </w:r>
      <w:r w:rsidR="001F61D6">
        <w:t xml:space="preserve">Word </w:t>
      </w:r>
      <w:r w:rsidR="001F61D6" w:rsidRPr="001F61D6">
        <w:t>draft</w:t>
      </w:r>
      <w:r w:rsidR="006F3DBF" w:rsidRPr="001F61D6">
        <w:t xml:space="preserve"> </w:t>
      </w:r>
      <w:r w:rsidRPr="001F61D6">
        <w:t xml:space="preserve">once </w:t>
      </w:r>
      <w:r w:rsidR="006F3DBF" w:rsidRPr="001F61D6">
        <w:t xml:space="preserve">the </w:t>
      </w:r>
      <w:r w:rsidRPr="001F61D6">
        <w:t xml:space="preserve">OSP </w:t>
      </w:r>
      <w:r w:rsidR="001F61D6">
        <w:t>“H</w:t>
      </w:r>
      <w:r w:rsidRPr="001F61D6">
        <w:t>eader</w:t>
      </w:r>
      <w:r w:rsidR="001F61D6">
        <w:t>” and “Requirements”</w:t>
      </w:r>
      <w:r w:rsidRPr="001F61D6">
        <w:t xml:space="preserve"> </w:t>
      </w:r>
      <w:r w:rsidR="001F61D6">
        <w:t>are</w:t>
      </w:r>
      <w:r w:rsidRPr="001F61D6">
        <w:t xml:space="preserve"> completed</w:t>
      </w:r>
      <w:r w:rsidR="001F61D6" w:rsidRPr="001F61D6">
        <w:t xml:space="preserve"> &gt; PDF and add </w:t>
      </w:r>
      <w:r w:rsidR="001F61D6">
        <w:t xml:space="preserve">finalized RFP </w:t>
      </w:r>
      <w:r w:rsidR="001F61D6" w:rsidRPr="001F61D6">
        <w:t>to “Attachments” tab in OSP</w:t>
      </w:r>
    </w:p>
  </w:comment>
  <w:comment w:id="15" w:author="Author" w:initials="A">
    <w:p w14:paraId="32693720" w14:textId="5E42FCEA" w:rsidR="00692013" w:rsidRDefault="00692013">
      <w:pPr>
        <w:pStyle w:val="CommentText"/>
      </w:pPr>
      <w:r>
        <w:rPr>
          <w:rStyle w:val="CommentReference"/>
        </w:rPr>
        <w:annotationRef/>
      </w:r>
      <w:r>
        <w:t xml:space="preserve">Define a reasonable number of pages that accommodates both a thorough response from a vendor as well as providing consideration to the evaluation committee that </w:t>
      </w:r>
      <w:proofErr w:type="gramStart"/>
      <w:r>
        <w:t>has to</w:t>
      </w:r>
      <w:proofErr w:type="gramEnd"/>
      <w:r>
        <w:t xml:space="preserve"> read all the proposals.</w:t>
      </w:r>
    </w:p>
  </w:comment>
  <w:comment w:id="18" w:author="Author" w:initials="A">
    <w:p w14:paraId="079A5DD2" w14:textId="2AD1E53B" w:rsidR="00440AFE" w:rsidRDefault="00440AFE">
      <w:pPr>
        <w:pStyle w:val="CommentText"/>
      </w:pPr>
      <w:r>
        <w:rPr>
          <w:rStyle w:val="CommentReference"/>
        </w:rPr>
        <w:annotationRef/>
      </w:r>
      <w:r w:rsidR="00760AD8">
        <w:t>F</w:t>
      </w:r>
      <w:r>
        <w:t>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440AFE" w:rsidRDefault="00440AF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1E2EBA" w15:done="0"/>
  <w15:commentEx w15:paraId="32693720" w15:done="0"/>
  <w15:commentEx w15:paraId="330711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E2EBA" w16cid:durableId="203A233C"/>
  <w16cid:commentId w16cid:paraId="32693720" w16cid:durableId="2225A2D2"/>
  <w16cid:commentId w16cid:paraId="33071124" w16cid:durableId="1EF2F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BB66" w14:textId="77777777" w:rsidR="00D30B27" w:rsidRDefault="00D30B27" w:rsidP="00BD015F">
      <w:r>
        <w:separator/>
      </w:r>
    </w:p>
  </w:endnote>
  <w:endnote w:type="continuationSeparator" w:id="0">
    <w:p w14:paraId="0EF984BF" w14:textId="77777777" w:rsidR="00D30B27" w:rsidRDefault="00D30B27"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70081794"/>
      <w:docPartObj>
        <w:docPartGallery w:val="Page Numbers (Bottom of Page)"/>
        <w:docPartUnique/>
      </w:docPartObj>
    </w:sdtPr>
    <w:sdtEndPr>
      <w:rPr>
        <w:color w:val="7F7F7F" w:themeColor="background1" w:themeShade="7F"/>
        <w:spacing w:val="60"/>
      </w:rPr>
    </w:sdtEndPr>
    <w:sdtContent>
      <w:p w14:paraId="2DB51B46" w14:textId="3560A0F7" w:rsidR="00440AFE" w:rsidRPr="006D4A06" w:rsidRDefault="006D4A06" w:rsidP="00B968A3">
        <w:pPr>
          <w:pStyle w:val="Footer"/>
          <w:pBdr>
            <w:top w:val="single" w:sz="4" w:space="1" w:color="D9D9D9" w:themeColor="background1" w:themeShade="D9"/>
          </w:pBdr>
          <w:rPr>
            <w:sz w:val="16"/>
            <w:szCs w:val="16"/>
          </w:rPr>
        </w:pPr>
        <w:r w:rsidRPr="006D4A06">
          <w:rPr>
            <w:sz w:val="16"/>
            <w:szCs w:val="16"/>
          </w:rPr>
          <w:t>2021-2</w:t>
        </w:r>
        <w:r>
          <w:rPr>
            <w:sz w:val="16"/>
            <w:szCs w:val="16"/>
          </w:rPr>
          <w:t xml:space="preserve"> </w:t>
        </w:r>
        <w:r w:rsidRPr="006D4A06">
          <w:rPr>
            <w:sz w:val="16"/>
            <w:szCs w:val="16"/>
          </w:rPr>
          <w:t xml:space="preserve"> RFP OSP Agency Template-Solicitation Specifications</w:t>
        </w:r>
        <w:r w:rsidR="00440AFE" w:rsidRPr="006D4A06">
          <w:rPr>
            <w:sz w:val="16"/>
            <w:szCs w:val="16"/>
          </w:rPr>
          <w:t xml:space="preserve">   </w:t>
        </w:r>
        <w:r>
          <w:rPr>
            <w:sz w:val="16"/>
            <w:szCs w:val="16"/>
          </w:rPr>
          <w:t xml:space="preserve">                 </w:t>
        </w:r>
        <w:r w:rsidR="00440AFE" w:rsidRPr="006D4A06">
          <w:rPr>
            <w:sz w:val="16"/>
            <w:szCs w:val="16"/>
          </w:rPr>
          <w:t xml:space="preserve">Page </w:t>
        </w:r>
        <w:r w:rsidR="00440AFE" w:rsidRPr="006D4A06">
          <w:rPr>
            <w:bCs/>
            <w:sz w:val="16"/>
            <w:szCs w:val="16"/>
          </w:rPr>
          <w:fldChar w:fldCharType="begin"/>
        </w:r>
        <w:r w:rsidR="00440AFE" w:rsidRPr="006D4A06">
          <w:rPr>
            <w:bCs/>
            <w:sz w:val="16"/>
            <w:szCs w:val="16"/>
          </w:rPr>
          <w:instrText xml:space="preserve"> PAGE  \* Arabic  \* MERGEFORMAT </w:instrText>
        </w:r>
        <w:r w:rsidR="00440AFE" w:rsidRPr="006D4A06">
          <w:rPr>
            <w:bCs/>
            <w:sz w:val="16"/>
            <w:szCs w:val="16"/>
          </w:rPr>
          <w:fldChar w:fldCharType="separate"/>
        </w:r>
        <w:r w:rsidR="009E7780" w:rsidRPr="006D4A06">
          <w:rPr>
            <w:bCs/>
            <w:noProof/>
            <w:sz w:val="16"/>
            <w:szCs w:val="16"/>
          </w:rPr>
          <w:t>2</w:t>
        </w:r>
        <w:r w:rsidR="00440AFE" w:rsidRPr="006D4A06">
          <w:rPr>
            <w:bCs/>
            <w:sz w:val="16"/>
            <w:szCs w:val="16"/>
          </w:rPr>
          <w:fldChar w:fldCharType="end"/>
        </w:r>
        <w:r w:rsidR="00440AFE" w:rsidRPr="006D4A06">
          <w:rPr>
            <w:sz w:val="16"/>
            <w:szCs w:val="16"/>
          </w:rPr>
          <w:t xml:space="preserve"> of </w:t>
        </w:r>
        <w:r w:rsidR="00440AFE" w:rsidRPr="006D4A06">
          <w:rPr>
            <w:bCs/>
            <w:sz w:val="16"/>
            <w:szCs w:val="16"/>
          </w:rPr>
          <w:fldChar w:fldCharType="begin"/>
        </w:r>
        <w:r w:rsidR="00440AFE" w:rsidRPr="006D4A06">
          <w:rPr>
            <w:bCs/>
            <w:sz w:val="16"/>
            <w:szCs w:val="16"/>
          </w:rPr>
          <w:instrText xml:space="preserve"> NUMPAGES  \* Arabic  \* MERGEFORMAT </w:instrText>
        </w:r>
        <w:r w:rsidR="00440AFE" w:rsidRPr="006D4A06">
          <w:rPr>
            <w:bCs/>
            <w:sz w:val="16"/>
            <w:szCs w:val="16"/>
          </w:rPr>
          <w:fldChar w:fldCharType="separate"/>
        </w:r>
        <w:r w:rsidR="009E7780" w:rsidRPr="006D4A06">
          <w:rPr>
            <w:bCs/>
            <w:noProof/>
            <w:sz w:val="16"/>
            <w:szCs w:val="16"/>
          </w:rPr>
          <w:t>2</w:t>
        </w:r>
        <w:r w:rsidR="00440AFE" w:rsidRPr="006D4A06">
          <w:rPr>
            <w:bCs/>
            <w:sz w:val="16"/>
            <w:szCs w:val="16"/>
          </w:rPr>
          <w:fldChar w:fldCharType="end"/>
        </w:r>
        <w:r w:rsidR="00440AFE" w:rsidRPr="006D4A06">
          <w:rPr>
            <w:bCs/>
            <w:sz w:val="16"/>
            <w:szCs w:val="16"/>
          </w:rPr>
          <w:t xml:space="preserve">                                                    </w:t>
        </w:r>
        <w:r>
          <w:rPr>
            <w:bCs/>
            <w:sz w:val="16"/>
            <w:szCs w:val="16"/>
          </w:rPr>
          <w:t xml:space="preserve">       </w:t>
        </w:r>
        <w:r w:rsidR="00440AFE" w:rsidRPr="006D4A06">
          <w:rPr>
            <w:bCs/>
            <w:sz w:val="16"/>
            <w:szCs w:val="16"/>
          </w:rPr>
          <w:t xml:space="preserve"> Revised</w:t>
        </w:r>
        <w:r>
          <w:rPr>
            <w:bCs/>
            <w:sz w:val="16"/>
            <w:szCs w:val="16"/>
          </w:rPr>
          <w:t>:</w:t>
        </w:r>
        <w:r w:rsidR="00440AFE" w:rsidRPr="006D4A06">
          <w:rPr>
            <w:bCs/>
            <w:sz w:val="16"/>
            <w:szCs w:val="16"/>
          </w:rPr>
          <w:t xml:space="preserve"> </w:t>
        </w:r>
        <w:r>
          <w:rPr>
            <w:bCs/>
            <w:sz w:val="16"/>
            <w:szCs w:val="16"/>
          </w:rPr>
          <w:t>0</w:t>
        </w:r>
        <w:r w:rsidR="00BB1BBC">
          <w:rPr>
            <w:bCs/>
            <w:sz w:val="16"/>
            <w:szCs w:val="16"/>
          </w:rPr>
          <w:t>3</w:t>
        </w:r>
        <w:r w:rsidR="00212BCA" w:rsidRPr="006D4A06">
          <w:rPr>
            <w:bCs/>
            <w:sz w:val="16"/>
            <w:szCs w:val="16"/>
          </w:rPr>
          <w:t>/</w:t>
        </w:r>
        <w:r w:rsidR="0000032E">
          <w:rPr>
            <w:bCs/>
            <w:sz w:val="16"/>
            <w:szCs w:val="16"/>
          </w:rPr>
          <w:t>10</w:t>
        </w:r>
        <w:r w:rsidR="00212BCA" w:rsidRPr="006D4A06">
          <w:rPr>
            <w:bCs/>
            <w:sz w:val="16"/>
            <w:szCs w:val="16"/>
          </w:rPr>
          <w:t>/20</w:t>
        </w:r>
        <w:r>
          <w:rPr>
            <w:bCs/>
            <w:sz w:val="16"/>
            <w:szCs w:val="16"/>
          </w:rPr>
          <w:t>21</w:t>
        </w:r>
      </w:p>
    </w:sdtContent>
  </w:sdt>
  <w:p w14:paraId="5D882CC0" w14:textId="4D25B495" w:rsidR="00440AFE" w:rsidRPr="003A72BB" w:rsidRDefault="00440AFE">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2547" w14:textId="77777777" w:rsidR="00D30B27" w:rsidRDefault="00D30B27" w:rsidP="00BD015F">
      <w:r>
        <w:separator/>
      </w:r>
    </w:p>
  </w:footnote>
  <w:footnote w:type="continuationSeparator" w:id="0">
    <w:p w14:paraId="4976B1A5" w14:textId="77777777" w:rsidR="00D30B27" w:rsidRDefault="00D30B27"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1CB"/>
    <w:multiLevelType w:val="hybridMultilevel"/>
    <w:tmpl w:val="47026D8A"/>
    <w:lvl w:ilvl="0" w:tplc="B886899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20027"/>
    <w:multiLevelType w:val="hybridMultilevel"/>
    <w:tmpl w:val="FC3C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8" w15:restartNumberingAfterBreak="0">
    <w:nsid w:val="2E1223BA"/>
    <w:multiLevelType w:val="hybridMultilevel"/>
    <w:tmpl w:val="B24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257EE"/>
    <w:multiLevelType w:val="hybridMultilevel"/>
    <w:tmpl w:val="F8A6B45C"/>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11A0A"/>
    <w:multiLevelType w:val="hybridMultilevel"/>
    <w:tmpl w:val="E17A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13" w15:restartNumberingAfterBreak="0">
    <w:nsid w:val="49A62978"/>
    <w:multiLevelType w:val="hybridMultilevel"/>
    <w:tmpl w:val="2084C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B56CF"/>
    <w:multiLevelType w:val="hybridMultilevel"/>
    <w:tmpl w:val="0AC0C53E"/>
    <w:lvl w:ilvl="0" w:tplc="571A036A">
      <w:numFmt w:val="bullet"/>
      <w:lvlText w:val=""/>
      <w:lvlJc w:val="left"/>
      <w:pPr>
        <w:ind w:left="720" w:hanging="360"/>
      </w:pPr>
      <w:rPr>
        <w:rFonts w:ascii="Symbol" w:eastAsiaTheme="minorHAns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1306C"/>
    <w:multiLevelType w:val="hybridMultilevel"/>
    <w:tmpl w:val="B244835E"/>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9"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5"/>
  </w:num>
  <w:num w:numId="5">
    <w:abstractNumId w:val="16"/>
  </w:num>
  <w:num w:numId="6">
    <w:abstractNumId w:val="9"/>
  </w:num>
  <w:num w:numId="7">
    <w:abstractNumId w:val="14"/>
  </w:num>
  <w:num w:numId="8">
    <w:abstractNumId w:val="0"/>
  </w:num>
  <w:num w:numId="9">
    <w:abstractNumId w:val="1"/>
  </w:num>
  <w:num w:numId="10">
    <w:abstractNumId w:val="3"/>
  </w:num>
  <w:num w:numId="11">
    <w:abstractNumId w:val="19"/>
  </w:num>
  <w:num w:numId="12">
    <w:abstractNumId w:val="4"/>
  </w:num>
  <w:num w:numId="13">
    <w:abstractNumId w:val="6"/>
  </w:num>
  <w:num w:numId="14">
    <w:abstractNumId w:val="2"/>
  </w:num>
  <w:num w:numId="15">
    <w:abstractNumId w:val="15"/>
  </w:num>
  <w:num w:numId="16">
    <w:abstractNumId w:val="17"/>
  </w:num>
  <w:num w:numId="17">
    <w:abstractNumId w:val="10"/>
  </w:num>
  <w:num w:numId="18">
    <w:abstractNumId w:val="8"/>
  </w:num>
  <w:num w:numId="19">
    <w:abstractNumId w:val="11"/>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0032E"/>
    <w:rsid w:val="00012570"/>
    <w:rsid w:val="000134D0"/>
    <w:rsid w:val="00016A5C"/>
    <w:rsid w:val="00025004"/>
    <w:rsid w:val="000271AA"/>
    <w:rsid w:val="0003368C"/>
    <w:rsid w:val="00034A1A"/>
    <w:rsid w:val="00034EC9"/>
    <w:rsid w:val="0003579E"/>
    <w:rsid w:val="00037E36"/>
    <w:rsid w:val="00041FA2"/>
    <w:rsid w:val="00046552"/>
    <w:rsid w:val="000602E5"/>
    <w:rsid w:val="0006044A"/>
    <w:rsid w:val="0007310C"/>
    <w:rsid w:val="00073A41"/>
    <w:rsid w:val="000855CE"/>
    <w:rsid w:val="00085A13"/>
    <w:rsid w:val="00085BF7"/>
    <w:rsid w:val="0009032F"/>
    <w:rsid w:val="000979D2"/>
    <w:rsid w:val="000A114F"/>
    <w:rsid w:val="000A13B2"/>
    <w:rsid w:val="000A2385"/>
    <w:rsid w:val="000A549D"/>
    <w:rsid w:val="000B334A"/>
    <w:rsid w:val="000C35E3"/>
    <w:rsid w:val="000D15D9"/>
    <w:rsid w:val="000E2C81"/>
    <w:rsid w:val="000E50BB"/>
    <w:rsid w:val="000F3223"/>
    <w:rsid w:val="000F47E7"/>
    <w:rsid w:val="000F6F89"/>
    <w:rsid w:val="00100708"/>
    <w:rsid w:val="001010CB"/>
    <w:rsid w:val="001048BD"/>
    <w:rsid w:val="00104DF9"/>
    <w:rsid w:val="00104F4D"/>
    <w:rsid w:val="0011258A"/>
    <w:rsid w:val="001213EA"/>
    <w:rsid w:val="0012184B"/>
    <w:rsid w:val="001261AD"/>
    <w:rsid w:val="00127ED3"/>
    <w:rsid w:val="00132931"/>
    <w:rsid w:val="0013297A"/>
    <w:rsid w:val="001332C9"/>
    <w:rsid w:val="00134AE2"/>
    <w:rsid w:val="00136DCD"/>
    <w:rsid w:val="00142DDA"/>
    <w:rsid w:val="00145659"/>
    <w:rsid w:val="00146705"/>
    <w:rsid w:val="00161B6B"/>
    <w:rsid w:val="00164646"/>
    <w:rsid w:val="00167F07"/>
    <w:rsid w:val="001806EB"/>
    <w:rsid w:val="0018250E"/>
    <w:rsid w:val="00197387"/>
    <w:rsid w:val="001B0419"/>
    <w:rsid w:val="001B4004"/>
    <w:rsid w:val="001C0356"/>
    <w:rsid w:val="001C4F84"/>
    <w:rsid w:val="001C553A"/>
    <w:rsid w:val="001D200E"/>
    <w:rsid w:val="001D2485"/>
    <w:rsid w:val="001E2FD0"/>
    <w:rsid w:val="001E73F9"/>
    <w:rsid w:val="001F0DE0"/>
    <w:rsid w:val="001F20B2"/>
    <w:rsid w:val="001F61D6"/>
    <w:rsid w:val="00204A02"/>
    <w:rsid w:val="00204B7E"/>
    <w:rsid w:val="002060F0"/>
    <w:rsid w:val="00206E11"/>
    <w:rsid w:val="00212BCA"/>
    <w:rsid w:val="00216814"/>
    <w:rsid w:val="00220875"/>
    <w:rsid w:val="00234021"/>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7F36"/>
    <w:rsid w:val="00292450"/>
    <w:rsid w:val="00292C3A"/>
    <w:rsid w:val="00293B3B"/>
    <w:rsid w:val="0029482C"/>
    <w:rsid w:val="002975DD"/>
    <w:rsid w:val="0029782A"/>
    <w:rsid w:val="002A5034"/>
    <w:rsid w:val="002B3587"/>
    <w:rsid w:val="002B4AF1"/>
    <w:rsid w:val="002B5AE4"/>
    <w:rsid w:val="002C025F"/>
    <w:rsid w:val="002C69AF"/>
    <w:rsid w:val="002C6CFD"/>
    <w:rsid w:val="002C7839"/>
    <w:rsid w:val="002D56F7"/>
    <w:rsid w:val="002E2272"/>
    <w:rsid w:val="002E37D0"/>
    <w:rsid w:val="002E4D3B"/>
    <w:rsid w:val="003023CF"/>
    <w:rsid w:val="00323D5B"/>
    <w:rsid w:val="00324BF9"/>
    <w:rsid w:val="00327C23"/>
    <w:rsid w:val="00330DFA"/>
    <w:rsid w:val="0033151E"/>
    <w:rsid w:val="003348CF"/>
    <w:rsid w:val="003359B5"/>
    <w:rsid w:val="003470E0"/>
    <w:rsid w:val="003500F9"/>
    <w:rsid w:val="00360BC7"/>
    <w:rsid w:val="00370120"/>
    <w:rsid w:val="00376629"/>
    <w:rsid w:val="003832B7"/>
    <w:rsid w:val="00385A2E"/>
    <w:rsid w:val="00393BC3"/>
    <w:rsid w:val="003A0BA4"/>
    <w:rsid w:val="003A1986"/>
    <w:rsid w:val="003A2425"/>
    <w:rsid w:val="003A72BB"/>
    <w:rsid w:val="003B1AEE"/>
    <w:rsid w:val="003B2D43"/>
    <w:rsid w:val="003B6BFF"/>
    <w:rsid w:val="003B7493"/>
    <w:rsid w:val="003C5E3F"/>
    <w:rsid w:val="003C6504"/>
    <w:rsid w:val="003D4299"/>
    <w:rsid w:val="003E0F31"/>
    <w:rsid w:val="003E5AD2"/>
    <w:rsid w:val="003E77E8"/>
    <w:rsid w:val="003F04FF"/>
    <w:rsid w:val="003F3584"/>
    <w:rsid w:val="00415B16"/>
    <w:rsid w:val="00415D34"/>
    <w:rsid w:val="00420865"/>
    <w:rsid w:val="00421132"/>
    <w:rsid w:val="00421EF4"/>
    <w:rsid w:val="0042433F"/>
    <w:rsid w:val="004251CB"/>
    <w:rsid w:val="0042673A"/>
    <w:rsid w:val="004273D9"/>
    <w:rsid w:val="00427D9A"/>
    <w:rsid w:val="004340DF"/>
    <w:rsid w:val="00440AFE"/>
    <w:rsid w:val="00440CF0"/>
    <w:rsid w:val="00443919"/>
    <w:rsid w:val="00454BAE"/>
    <w:rsid w:val="00457088"/>
    <w:rsid w:val="004600DE"/>
    <w:rsid w:val="00475082"/>
    <w:rsid w:val="004839DA"/>
    <w:rsid w:val="004864EA"/>
    <w:rsid w:val="00497A92"/>
    <w:rsid w:val="004A0FB3"/>
    <w:rsid w:val="004A18BA"/>
    <w:rsid w:val="004A2A19"/>
    <w:rsid w:val="004A3FB2"/>
    <w:rsid w:val="004A62FD"/>
    <w:rsid w:val="004A68F3"/>
    <w:rsid w:val="004A6AF5"/>
    <w:rsid w:val="004B0337"/>
    <w:rsid w:val="004B1918"/>
    <w:rsid w:val="004B79AF"/>
    <w:rsid w:val="004C2DF2"/>
    <w:rsid w:val="004C659D"/>
    <w:rsid w:val="004C7072"/>
    <w:rsid w:val="004C794D"/>
    <w:rsid w:val="004D2A71"/>
    <w:rsid w:val="004D63EE"/>
    <w:rsid w:val="004E15B2"/>
    <w:rsid w:val="004E40F3"/>
    <w:rsid w:val="004F7F4E"/>
    <w:rsid w:val="00504FDC"/>
    <w:rsid w:val="00507042"/>
    <w:rsid w:val="00513358"/>
    <w:rsid w:val="005141CA"/>
    <w:rsid w:val="005168D0"/>
    <w:rsid w:val="0051791F"/>
    <w:rsid w:val="00517C17"/>
    <w:rsid w:val="00517ED9"/>
    <w:rsid w:val="005220B3"/>
    <w:rsid w:val="0053455C"/>
    <w:rsid w:val="00545CC4"/>
    <w:rsid w:val="00547A3B"/>
    <w:rsid w:val="00551721"/>
    <w:rsid w:val="005528BF"/>
    <w:rsid w:val="005550F4"/>
    <w:rsid w:val="0055660D"/>
    <w:rsid w:val="00564156"/>
    <w:rsid w:val="00565C10"/>
    <w:rsid w:val="005664BE"/>
    <w:rsid w:val="00566A25"/>
    <w:rsid w:val="00567844"/>
    <w:rsid w:val="00574FCC"/>
    <w:rsid w:val="005802BF"/>
    <w:rsid w:val="005821A7"/>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7733"/>
    <w:rsid w:val="005E3610"/>
    <w:rsid w:val="005F501F"/>
    <w:rsid w:val="00604606"/>
    <w:rsid w:val="0061115B"/>
    <w:rsid w:val="00611539"/>
    <w:rsid w:val="006134B5"/>
    <w:rsid w:val="0061376C"/>
    <w:rsid w:val="0061618D"/>
    <w:rsid w:val="00617171"/>
    <w:rsid w:val="0062577A"/>
    <w:rsid w:val="006266CE"/>
    <w:rsid w:val="00634118"/>
    <w:rsid w:val="00635006"/>
    <w:rsid w:val="006365D8"/>
    <w:rsid w:val="006375A7"/>
    <w:rsid w:val="00643603"/>
    <w:rsid w:val="00645A66"/>
    <w:rsid w:val="00654C0A"/>
    <w:rsid w:val="006620BB"/>
    <w:rsid w:val="006623D1"/>
    <w:rsid w:val="00664023"/>
    <w:rsid w:val="00664A38"/>
    <w:rsid w:val="00675160"/>
    <w:rsid w:val="00675F20"/>
    <w:rsid w:val="00677EFF"/>
    <w:rsid w:val="00690911"/>
    <w:rsid w:val="00692013"/>
    <w:rsid w:val="006931CD"/>
    <w:rsid w:val="0069404A"/>
    <w:rsid w:val="006A58CF"/>
    <w:rsid w:val="006B3CFE"/>
    <w:rsid w:val="006B7828"/>
    <w:rsid w:val="006D2913"/>
    <w:rsid w:val="006D4765"/>
    <w:rsid w:val="006D4A06"/>
    <w:rsid w:val="006D6A45"/>
    <w:rsid w:val="006E60D6"/>
    <w:rsid w:val="006F3DBF"/>
    <w:rsid w:val="006F4183"/>
    <w:rsid w:val="006F4BCB"/>
    <w:rsid w:val="00700AAD"/>
    <w:rsid w:val="0070262E"/>
    <w:rsid w:val="00714840"/>
    <w:rsid w:val="0072040D"/>
    <w:rsid w:val="00720A8B"/>
    <w:rsid w:val="00721227"/>
    <w:rsid w:val="00725586"/>
    <w:rsid w:val="00725D36"/>
    <w:rsid w:val="0073190D"/>
    <w:rsid w:val="007344E3"/>
    <w:rsid w:val="00740157"/>
    <w:rsid w:val="007431EF"/>
    <w:rsid w:val="00760AD8"/>
    <w:rsid w:val="00761085"/>
    <w:rsid w:val="00763301"/>
    <w:rsid w:val="007636E9"/>
    <w:rsid w:val="00764131"/>
    <w:rsid w:val="00765D5F"/>
    <w:rsid w:val="0077312C"/>
    <w:rsid w:val="007853A9"/>
    <w:rsid w:val="00792FA3"/>
    <w:rsid w:val="00793F9B"/>
    <w:rsid w:val="007A215E"/>
    <w:rsid w:val="007A4133"/>
    <w:rsid w:val="007A4511"/>
    <w:rsid w:val="007A6E23"/>
    <w:rsid w:val="007B33C6"/>
    <w:rsid w:val="007B3B50"/>
    <w:rsid w:val="007B53F1"/>
    <w:rsid w:val="007C13CB"/>
    <w:rsid w:val="007C3984"/>
    <w:rsid w:val="007C5C89"/>
    <w:rsid w:val="007C71CF"/>
    <w:rsid w:val="007D4949"/>
    <w:rsid w:val="007D5B8B"/>
    <w:rsid w:val="007D77F4"/>
    <w:rsid w:val="007E5860"/>
    <w:rsid w:val="007E5DF0"/>
    <w:rsid w:val="007E7887"/>
    <w:rsid w:val="007F0B8A"/>
    <w:rsid w:val="007F3D55"/>
    <w:rsid w:val="00810D89"/>
    <w:rsid w:val="00811851"/>
    <w:rsid w:val="00811924"/>
    <w:rsid w:val="00812E3C"/>
    <w:rsid w:val="008164B7"/>
    <w:rsid w:val="00822E42"/>
    <w:rsid w:val="00824CC3"/>
    <w:rsid w:val="0082756F"/>
    <w:rsid w:val="0083053F"/>
    <w:rsid w:val="00832985"/>
    <w:rsid w:val="00835F7C"/>
    <w:rsid w:val="00837B74"/>
    <w:rsid w:val="00852A3D"/>
    <w:rsid w:val="00860B94"/>
    <w:rsid w:val="00863041"/>
    <w:rsid w:val="00866B1D"/>
    <w:rsid w:val="00867A47"/>
    <w:rsid w:val="0087025C"/>
    <w:rsid w:val="00877302"/>
    <w:rsid w:val="00886486"/>
    <w:rsid w:val="008866D4"/>
    <w:rsid w:val="0089023B"/>
    <w:rsid w:val="00896DEF"/>
    <w:rsid w:val="008A176C"/>
    <w:rsid w:val="008A2D32"/>
    <w:rsid w:val="008A7FD1"/>
    <w:rsid w:val="008B0786"/>
    <w:rsid w:val="008B079E"/>
    <w:rsid w:val="008B0941"/>
    <w:rsid w:val="008B0DFD"/>
    <w:rsid w:val="008B199A"/>
    <w:rsid w:val="008B1A73"/>
    <w:rsid w:val="008B2E01"/>
    <w:rsid w:val="008B6021"/>
    <w:rsid w:val="008C404A"/>
    <w:rsid w:val="008C4CA9"/>
    <w:rsid w:val="008C5C35"/>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49D6"/>
    <w:rsid w:val="0093526E"/>
    <w:rsid w:val="00941496"/>
    <w:rsid w:val="009434C5"/>
    <w:rsid w:val="00947526"/>
    <w:rsid w:val="00956730"/>
    <w:rsid w:val="00963CDD"/>
    <w:rsid w:val="00965337"/>
    <w:rsid w:val="009656AD"/>
    <w:rsid w:val="00981952"/>
    <w:rsid w:val="00985BE2"/>
    <w:rsid w:val="00992510"/>
    <w:rsid w:val="00992D9E"/>
    <w:rsid w:val="00993C82"/>
    <w:rsid w:val="00996F52"/>
    <w:rsid w:val="009A5A41"/>
    <w:rsid w:val="009A5EBD"/>
    <w:rsid w:val="009B38DA"/>
    <w:rsid w:val="009B787E"/>
    <w:rsid w:val="009C24F9"/>
    <w:rsid w:val="009C609E"/>
    <w:rsid w:val="009D0947"/>
    <w:rsid w:val="009D0E07"/>
    <w:rsid w:val="009D527C"/>
    <w:rsid w:val="009D645A"/>
    <w:rsid w:val="009D684C"/>
    <w:rsid w:val="009D7A05"/>
    <w:rsid w:val="009E500D"/>
    <w:rsid w:val="009E6424"/>
    <w:rsid w:val="009E7780"/>
    <w:rsid w:val="009F1DD0"/>
    <w:rsid w:val="009F4D0C"/>
    <w:rsid w:val="009F7540"/>
    <w:rsid w:val="00A03126"/>
    <w:rsid w:val="00A04097"/>
    <w:rsid w:val="00A04898"/>
    <w:rsid w:val="00A05FF3"/>
    <w:rsid w:val="00A16418"/>
    <w:rsid w:val="00A1730C"/>
    <w:rsid w:val="00A255D9"/>
    <w:rsid w:val="00A337BD"/>
    <w:rsid w:val="00A34CAB"/>
    <w:rsid w:val="00A372BD"/>
    <w:rsid w:val="00A37DEF"/>
    <w:rsid w:val="00A47786"/>
    <w:rsid w:val="00A5133C"/>
    <w:rsid w:val="00A62C6C"/>
    <w:rsid w:val="00A73CAE"/>
    <w:rsid w:val="00A740C5"/>
    <w:rsid w:val="00A75779"/>
    <w:rsid w:val="00A774BA"/>
    <w:rsid w:val="00A80906"/>
    <w:rsid w:val="00A822DE"/>
    <w:rsid w:val="00A82BED"/>
    <w:rsid w:val="00A87F30"/>
    <w:rsid w:val="00A91DA8"/>
    <w:rsid w:val="00A94324"/>
    <w:rsid w:val="00AA106F"/>
    <w:rsid w:val="00AA3092"/>
    <w:rsid w:val="00AA5BD1"/>
    <w:rsid w:val="00AA6CBD"/>
    <w:rsid w:val="00AB2B9F"/>
    <w:rsid w:val="00AB4AC5"/>
    <w:rsid w:val="00AC4B4A"/>
    <w:rsid w:val="00AC707B"/>
    <w:rsid w:val="00AD69D0"/>
    <w:rsid w:val="00AD750F"/>
    <w:rsid w:val="00AD78E7"/>
    <w:rsid w:val="00AE034D"/>
    <w:rsid w:val="00AE43DF"/>
    <w:rsid w:val="00AE75EC"/>
    <w:rsid w:val="00AF3373"/>
    <w:rsid w:val="00AF7650"/>
    <w:rsid w:val="00B066C6"/>
    <w:rsid w:val="00B10598"/>
    <w:rsid w:val="00B10629"/>
    <w:rsid w:val="00B10A88"/>
    <w:rsid w:val="00B164BF"/>
    <w:rsid w:val="00B207CD"/>
    <w:rsid w:val="00B252B7"/>
    <w:rsid w:val="00B271D4"/>
    <w:rsid w:val="00B31570"/>
    <w:rsid w:val="00B40EE0"/>
    <w:rsid w:val="00B41512"/>
    <w:rsid w:val="00B41D94"/>
    <w:rsid w:val="00B459DD"/>
    <w:rsid w:val="00B47284"/>
    <w:rsid w:val="00B547D4"/>
    <w:rsid w:val="00B567C7"/>
    <w:rsid w:val="00B65D58"/>
    <w:rsid w:val="00B7325B"/>
    <w:rsid w:val="00B7381D"/>
    <w:rsid w:val="00B848F8"/>
    <w:rsid w:val="00B85D16"/>
    <w:rsid w:val="00B90CD2"/>
    <w:rsid w:val="00B92BF7"/>
    <w:rsid w:val="00B92D51"/>
    <w:rsid w:val="00B96209"/>
    <w:rsid w:val="00B968A3"/>
    <w:rsid w:val="00BA1000"/>
    <w:rsid w:val="00BA2230"/>
    <w:rsid w:val="00BA3842"/>
    <w:rsid w:val="00BB1BBC"/>
    <w:rsid w:val="00BB7FF8"/>
    <w:rsid w:val="00BC1669"/>
    <w:rsid w:val="00BC1C13"/>
    <w:rsid w:val="00BC33DD"/>
    <w:rsid w:val="00BD015F"/>
    <w:rsid w:val="00BD1ECF"/>
    <w:rsid w:val="00BD2DFA"/>
    <w:rsid w:val="00BD2F24"/>
    <w:rsid w:val="00BD63F4"/>
    <w:rsid w:val="00BD662D"/>
    <w:rsid w:val="00BD6E4D"/>
    <w:rsid w:val="00BE1674"/>
    <w:rsid w:val="00BE72DA"/>
    <w:rsid w:val="00C03E5A"/>
    <w:rsid w:val="00C11D7D"/>
    <w:rsid w:val="00C224D6"/>
    <w:rsid w:val="00C243CF"/>
    <w:rsid w:val="00C246D2"/>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6594"/>
    <w:rsid w:val="00C91B38"/>
    <w:rsid w:val="00C9234B"/>
    <w:rsid w:val="00CA4CC3"/>
    <w:rsid w:val="00CB7E4D"/>
    <w:rsid w:val="00CC2577"/>
    <w:rsid w:val="00CD51C6"/>
    <w:rsid w:val="00CE6E69"/>
    <w:rsid w:val="00CE7131"/>
    <w:rsid w:val="00CF5E2C"/>
    <w:rsid w:val="00CF798D"/>
    <w:rsid w:val="00D03D88"/>
    <w:rsid w:val="00D15C15"/>
    <w:rsid w:val="00D160EB"/>
    <w:rsid w:val="00D21290"/>
    <w:rsid w:val="00D25045"/>
    <w:rsid w:val="00D26A17"/>
    <w:rsid w:val="00D27FE9"/>
    <w:rsid w:val="00D30270"/>
    <w:rsid w:val="00D30B27"/>
    <w:rsid w:val="00D3560A"/>
    <w:rsid w:val="00D41330"/>
    <w:rsid w:val="00D42C85"/>
    <w:rsid w:val="00D440BB"/>
    <w:rsid w:val="00D552B5"/>
    <w:rsid w:val="00D61F02"/>
    <w:rsid w:val="00D635AE"/>
    <w:rsid w:val="00D63E0C"/>
    <w:rsid w:val="00D64CAD"/>
    <w:rsid w:val="00D66361"/>
    <w:rsid w:val="00D70F2A"/>
    <w:rsid w:val="00D71DC0"/>
    <w:rsid w:val="00D7292B"/>
    <w:rsid w:val="00D77A2E"/>
    <w:rsid w:val="00D805A1"/>
    <w:rsid w:val="00D814C4"/>
    <w:rsid w:val="00D81EC9"/>
    <w:rsid w:val="00D9192E"/>
    <w:rsid w:val="00D93690"/>
    <w:rsid w:val="00D9406A"/>
    <w:rsid w:val="00D9649E"/>
    <w:rsid w:val="00DA2C6B"/>
    <w:rsid w:val="00DA5B3D"/>
    <w:rsid w:val="00DC07B2"/>
    <w:rsid w:val="00DC0CAF"/>
    <w:rsid w:val="00DC2CEE"/>
    <w:rsid w:val="00DD0823"/>
    <w:rsid w:val="00DD4133"/>
    <w:rsid w:val="00DD46EE"/>
    <w:rsid w:val="00DE3EC7"/>
    <w:rsid w:val="00DF42D7"/>
    <w:rsid w:val="00E03386"/>
    <w:rsid w:val="00E122BB"/>
    <w:rsid w:val="00E1548A"/>
    <w:rsid w:val="00E22B23"/>
    <w:rsid w:val="00E24445"/>
    <w:rsid w:val="00E27142"/>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212B"/>
    <w:rsid w:val="00E82475"/>
    <w:rsid w:val="00E84080"/>
    <w:rsid w:val="00E92E13"/>
    <w:rsid w:val="00E95D02"/>
    <w:rsid w:val="00EA6F4C"/>
    <w:rsid w:val="00EB4A9A"/>
    <w:rsid w:val="00EB59CE"/>
    <w:rsid w:val="00EB6128"/>
    <w:rsid w:val="00EB6993"/>
    <w:rsid w:val="00EB755A"/>
    <w:rsid w:val="00EC12E5"/>
    <w:rsid w:val="00EC229E"/>
    <w:rsid w:val="00EC397F"/>
    <w:rsid w:val="00EC4483"/>
    <w:rsid w:val="00EC5B05"/>
    <w:rsid w:val="00EC65B1"/>
    <w:rsid w:val="00ED2B0D"/>
    <w:rsid w:val="00ED4C6E"/>
    <w:rsid w:val="00ED688D"/>
    <w:rsid w:val="00ED7165"/>
    <w:rsid w:val="00EE5113"/>
    <w:rsid w:val="00EE51EC"/>
    <w:rsid w:val="00EE6573"/>
    <w:rsid w:val="00EE70F9"/>
    <w:rsid w:val="00EF3583"/>
    <w:rsid w:val="00F00116"/>
    <w:rsid w:val="00F01272"/>
    <w:rsid w:val="00F0223A"/>
    <w:rsid w:val="00F041FC"/>
    <w:rsid w:val="00F04D78"/>
    <w:rsid w:val="00F062BD"/>
    <w:rsid w:val="00F07817"/>
    <w:rsid w:val="00F100EE"/>
    <w:rsid w:val="00F13D8F"/>
    <w:rsid w:val="00F20937"/>
    <w:rsid w:val="00F353FA"/>
    <w:rsid w:val="00F365BB"/>
    <w:rsid w:val="00F37880"/>
    <w:rsid w:val="00F41FD1"/>
    <w:rsid w:val="00F42082"/>
    <w:rsid w:val="00F45804"/>
    <w:rsid w:val="00F5272B"/>
    <w:rsid w:val="00F52744"/>
    <w:rsid w:val="00F53BC6"/>
    <w:rsid w:val="00F55078"/>
    <w:rsid w:val="00F56302"/>
    <w:rsid w:val="00F56800"/>
    <w:rsid w:val="00F57E36"/>
    <w:rsid w:val="00F63A35"/>
    <w:rsid w:val="00F64758"/>
    <w:rsid w:val="00F6581B"/>
    <w:rsid w:val="00F716F6"/>
    <w:rsid w:val="00F77E60"/>
    <w:rsid w:val="00F77FC9"/>
    <w:rsid w:val="00F80559"/>
    <w:rsid w:val="00F83C9A"/>
    <w:rsid w:val="00F90636"/>
    <w:rsid w:val="00F908CF"/>
    <w:rsid w:val="00F9469D"/>
    <w:rsid w:val="00F94E1D"/>
    <w:rsid w:val="00F96D1E"/>
    <w:rsid w:val="00FA059D"/>
    <w:rsid w:val="00FA082E"/>
    <w:rsid w:val="00FA2FD4"/>
    <w:rsid w:val="00FA36E8"/>
    <w:rsid w:val="00FA6E8A"/>
    <w:rsid w:val="00FC0DB7"/>
    <w:rsid w:val="00FC1B4A"/>
    <w:rsid w:val="00FD286E"/>
    <w:rsid w:val="00FD35E7"/>
    <w:rsid w:val="00FD43BB"/>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paragraph" w:customStyle="1" w:styleId="Headingb">
    <w:name w:val="Heading b"/>
    <w:basedOn w:val="Heading2"/>
    <w:next w:val="Normal"/>
    <w:link w:val="HeadingbChar"/>
    <w:qFormat/>
    <w:rsid w:val="00B85D16"/>
    <w:pPr>
      <w:spacing w:line="259" w:lineRule="auto"/>
    </w:pPr>
    <w:rPr>
      <w:rFonts w:ascii="Times New Roman" w:hAnsi="Times New Roman" w:cs="Times New Roman"/>
      <w:b/>
      <w:bCs/>
      <w:color w:val="auto"/>
      <w:sz w:val="24"/>
      <w:szCs w:val="24"/>
      <w:u w:val="single"/>
    </w:rPr>
  </w:style>
  <w:style w:type="character" w:customStyle="1" w:styleId="HeadingbChar">
    <w:name w:val="Heading b Char"/>
    <w:basedOn w:val="DefaultParagraphFont"/>
    <w:link w:val="Headingb"/>
    <w:rsid w:val="00B85D16"/>
    <w:rPr>
      <w:rFonts w:ascii="Times New Roman" w:eastAsiaTheme="majorEastAsia"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3081122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63633915">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dop.ri.gov/documents/general-conditions-addendum-a.pdf" TargetMode="External"/><Relationship Id="rId18" Type="http://schemas.openxmlformats.org/officeDocument/2006/relationships/hyperlink" Target="http://www.ribcc.ri.gov/documents/gbac/GBAC_GA%20Report_2021.5.25_FI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de.ri.gov/Portals/0/Uploads/Documents/Funding-and-Finance-Wise-Investments/SchoolBuildingAuthority/SBA-Report-02152022.pdf" TargetMode="External"/><Relationship Id="rId7" Type="http://schemas.openxmlformats.org/officeDocument/2006/relationships/endnotes" Target="endnotes.xml"/><Relationship Id="rId12" Type="http://schemas.openxmlformats.org/officeDocument/2006/relationships/hyperlink" Target="https://rules.sos.ri.gov/regulations/part/220-30-00-13" TargetMode="External"/><Relationship Id="rId17" Type="http://schemas.openxmlformats.org/officeDocument/2006/relationships/hyperlink" Target="http://www.ribcc.ri.gov/gba/" TargetMode="External"/><Relationship Id="rId25" Type="http://schemas.openxmlformats.org/officeDocument/2006/relationships/hyperlink" Target="http://www.energy.ri.gov/policies-programs/" TargetMode="External"/><Relationship Id="rId2" Type="http://schemas.openxmlformats.org/officeDocument/2006/relationships/numbering" Target="numbering.xml"/><Relationship Id="rId16" Type="http://schemas.openxmlformats.org/officeDocument/2006/relationships/hyperlink" Target="http://webserver.rilin.state.ri.us/Statutes/TITLE37/37-24/INDEX.HTM" TargetMode="External"/><Relationship Id="rId20" Type="http://schemas.openxmlformats.org/officeDocument/2006/relationships/hyperlink" Target="http://www.ribcc.ri.gov/documents/gbac/GBAC_GA%20Report_2021.5.25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energy.ri.gov/reports-publication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umentsondemand.aia.org/?filter=Rhode" TargetMode="External"/><Relationship Id="rId23" Type="http://schemas.openxmlformats.org/officeDocument/2006/relationships/hyperlink" Target="http://www.energy.ri.gov/policies-programs/lead-by-example/" TargetMode="External"/><Relationship Id="rId28"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yperlink" Target="http://climatechange.ri.gov/aoc/"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umentsondemand.aia.org/?filter=Rhode" TargetMode="External"/><Relationship Id="rId22" Type="http://schemas.openxmlformats.org/officeDocument/2006/relationships/hyperlink" Target="https://www.ride.ri.gov/Portals/0/Uploads/Documents/Funding-and-Finance-Wise-Investments/SchoolBuildingAuthority/Energy-Report-DRAFT-Final.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5F9749388B4D939C55CB693F76967D"/>
        <w:category>
          <w:name w:val="General"/>
          <w:gallery w:val="placeholder"/>
        </w:category>
        <w:types>
          <w:type w:val="bbPlcHdr"/>
        </w:types>
        <w:behaviors>
          <w:behavior w:val="content"/>
        </w:behaviors>
        <w:guid w:val="{0E24CA3F-6614-407F-8E05-C5EF336265AE}"/>
      </w:docPartPr>
      <w:docPartBody>
        <w:p w:rsidR="000D68AA" w:rsidRDefault="00F73412" w:rsidP="00F73412">
          <w:pPr>
            <w:pStyle w:val="265F9749388B4D939C55CB693F76967D"/>
          </w:pPr>
          <w:r w:rsidRPr="00547B41">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2"/>
    <w:rsid w:val="000D68AA"/>
    <w:rsid w:val="00493221"/>
    <w:rsid w:val="006A68ED"/>
    <w:rsid w:val="006B3AAA"/>
    <w:rsid w:val="00747206"/>
    <w:rsid w:val="007827E4"/>
    <w:rsid w:val="007D756F"/>
    <w:rsid w:val="00861059"/>
    <w:rsid w:val="00952706"/>
    <w:rsid w:val="009F65C2"/>
    <w:rsid w:val="00B057EB"/>
    <w:rsid w:val="00B845E1"/>
    <w:rsid w:val="00BB53F0"/>
    <w:rsid w:val="00DA11C5"/>
    <w:rsid w:val="00EA1F98"/>
    <w:rsid w:val="00F73412"/>
    <w:rsid w:val="00FD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412"/>
    <w:rPr>
      <w:color w:val="808080"/>
    </w:rPr>
  </w:style>
  <w:style w:type="paragraph" w:customStyle="1" w:styleId="265F9749388B4D939C55CB693F76967D">
    <w:name w:val="265F9749388B4D939C55CB693F76967D"/>
    <w:rsid w:val="00F73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2E21E2AF41A4DB00D82716E1CCB8D" ma:contentTypeVersion="15" ma:contentTypeDescription="Create a new document." ma:contentTypeScope="" ma:versionID="84cc66a2ea1e635a724e121c1421da76">
  <xsd:schema xmlns:xsd="http://www.w3.org/2001/XMLSchema" xmlns:xs="http://www.w3.org/2001/XMLSchema" xmlns:p="http://schemas.microsoft.com/office/2006/metadata/properties" xmlns:ns2="cf84cca7-d1f0-4245-bafb-4a22aac14a15" xmlns:ns3="c1b159e3-c3ec-42b6-a504-fab8fa366fd9" targetNamespace="http://schemas.microsoft.com/office/2006/metadata/properties" ma:root="true" ma:fieldsID="fda38bf9867680d6b83a4d790afa9fdb" ns2:_="" ns3:_="">
    <xsd:import namespace="cf84cca7-d1f0-4245-bafb-4a22aac14a15"/>
    <xsd:import namespace="c1b159e3-c3ec-42b6-a504-fab8fa366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ContentArea" minOccurs="0"/>
                <xsd:element ref="ns3:ProgramArea" minOccurs="0"/>
                <xsd:element ref="ns3:DocumentType" minOccurs="0"/>
                <xsd:element ref="ns3:DocumentStatu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4cca7-d1f0-4245-bafb-4a22aac14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9e3-c3ec-42b6-a504-fab8fa366fd9" elementFormDefault="qualified">
    <xsd:import namespace="http://schemas.microsoft.com/office/2006/documentManagement/types"/>
    <xsd:import namespace="http://schemas.microsoft.com/office/infopath/2007/PartnerControls"/>
    <xsd:element name="ContentArea" ma:index="11" nillable="true" ma:displayName="Content Area" ma:internalName="ContentArea">
      <xsd:simpleType>
        <xsd:restriction base="dms:Choice">
          <xsd:enumeration value="Archives"/>
          <xsd:enumeration value="Administrative"/>
          <xsd:enumeration value="Communications"/>
          <xsd:enumeration value="Energy Efficiency"/>
          <xsd:enumeration value="Major initiatives"/>
          <xsd:enumeration value="Renewable Energy"/>
          <xsd:enumeration value="Transportation"/>
          <xsd:enumeration value="Workforce Development"/>
        </xsd:restriction>
      </xsd:simpleType>
    </xsd:element>
    <xsd:element name="ProgramArea" ma:index="12" nillable="true" ma:displayName="Program Area" ma:internalName="ProgramArea">
      <xsd:simpleType>
        <xsd:restriction base="dms:Choice">
          <xsd:enumeration value="Lead By Example"/>
          <xsd:enumeration value="Heating Sector Transformation"/>
          <xsd:enumeration value="Electrify RI"/>
          <xsd:enumeration value="Farms"/>
          <xsd:enumeration value="Solar"/>
          <xsd:enumeration value="Wind"/>
          <xsd:enumeration value="Energy Storage"/>
          <xsd:enumeration value="Microgrids"/>
          <xsd:enumeration value="Legislative"/>
          <xsd:enumeration value="Heat Pumps"/>
          <xsd:enumeration value="Delivered Fuels"/>
          <xsd:enumeration value="ZEV"/>
          <xsd:enumeration value="Charging Stations"/>
          <xsd:enumeration value="Clean Energy Jobs"/>
          <xsd:enumeration value="1000 MW"/>
          <xsd:enumeration value="Power Sector Transformation"/>
          <xsd:enumeration value="RGGI"/>
          <xsd:enumeration value="Clean Cities"/>
          <xsd:enumeration value="100 by 2030"/>
          <xsd:enumeration value="Media"/>
          <xsd:enumeration value="REF"/>
          <xsd:enumeration value="Carbon Pricing"/>
          <xsd:enumeration value="EERMC"/>
          <xsd:enumeration value="ZEOS"/>
          <xsd:enumeration value="SEMP"/>
          <xsd:enumeration value="Major Report"/>
        </xsd:restriction>
      </xsd:simpleType>
    </xsd:element>
    <xsd:element name="DocumentType" ma:index="13" nillable="true" ma:displayName="Document Type" ma:format="Dropdown" ma:indexed="true" ma:internalName="DocumentType">
      <xsd:simpleType>
        <xsd:restriction base="dms:Choice">
          <xsd:enumeration value="Template"/>
          <xsd:enumeration value="Report"/>
          <xsd:enumeration value="Presentation"/>
          <xsd:enumeration value="Memo"/>
          <xsd:enumeration value="Flyer"/>
          <xsd:enumeration value="Press Release"/>
          <xsd:enumeration value="Interview"/>
          <xsd:enumeration value="Survey"/>
          <xsd:enumeration value="Invoice"/>
        </xsd:restriction>
      </xsd:simpleType>
    </xsd:element>
    <xsd:element name="DocumentStatus" ma:index="14" nillable="true" ma:displayName="Status" ma:internalName="DocumentStatus">
      <xsd:simpleType>
        <xsd:restriction base="dms:Choice">
          <xsd:enumeration value="Active"/>
          <xsd:enumeration value="Complete"/>
          <xsd:enumeration value="Confidential"/>
          <xsd:enumeration value="Pending"/>
          <xsd:enumeration value="Archiv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Area xmlns="c1b159e3-c3ec-42b6-a504-fab8fa366fd9" xsi:nil="true"/>
    <DocumentType xmlns="c1b159e3-c3ec-42b6-a504-fab8fa366fd9" xsi:nil="true"/>
    <ContentArea xmlns="c1b159e3-c3ec-42b6-a504-fab8fa366fd9" xsi:nil="true"/>
    <DocumentStatus xmlns="c1b159e3-c3ec-42b6-a504-fab8fa366fd9" xsi:nil="true"/>
  </documentManagement>
</p:properties>
</file>

<file path=customXml/itemProps1.xml><?xml version="1.0" encoding="utf-8"?>
<ds:datastoreItem xmlns:ds="http://schemas.openxmlformats.org/officeDocument/2006/customXml" ds:itemID="{03EB9A0E-D337-4445-84FE-DFBE1FCDF300}">
  <ds:schemaRefs>
    <ds:schemaRef ds:uri="http://schemas.openxmlformats.org/officeDocument/2006/bibliography"/>
  </ds:schemaRefs>
</ds:datastoreItem>
</file>

<file path=customXml/itemProps2.xml><?xml version="1.0" encoding="utf-8"?>
<ds:datastoreItem xmlns:ds="http://schemas.openxmlformats.org/officeDocument/2006/customXml" ds:itemID="{F86D8140-4F74-44CD-BEAA-D3A3C0A57AFC}"/>
</file>

<file path=customXml/itemProps3.xml><?xml version="1.0" encoding="utf-8"?>
<ds:datastoreItem xmlns:ds="http://schemas.openxmlformats.org/officeDocument/2006/customXml" ds:itemID="{6F31C822-C838-490B-A62A-64FB8A3CF7DE}"/>
</file>

<file path=customXml/itemProps4.xml><?xml version="1.0" encoding="utf-8"?>
<ds:datastoreItem xmlns:ds="http://schemas.openxmlformats.org/officeDocument/2006/customXml" ds:itemID="{7296370F-62C2-4FEC-BD4A-02BB75A39817}"/>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20312</Characters>
  <Application>Microsoft Office Word</Application>
  <DocSecurity>0</DocSecurity>
  <Lines>534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2022-04-11T21:20:00Z</dcterms:created>
  <dcterms:modified xsi:type="dcterms:W3CDTF">2022-04-11T21:34:00Z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0x010100F6C2E21E2AF41A4DB00D82716E1CCB8D</vt:lpwstr>
  </property>
</Properties>
</file>